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私募投资基金信息披露内容与格式指引1号</w:t>
      </w:r>
    </w:p>
    <w:p>
      <w:pPr>
        <w:jc w:val="center"/>
        <w:rPr>
          <w:rFonts w:ascii="仿宋" w:hAnsi="仿宋" w:eastAsia="仿宋"/>
          <w:b/>
          <w:sz w:val="32"/>
          <w:szCs w:val="32"/>
        </w:rPr>
      </w:pPr>
      <w:r>
        <w:rPr>
          <w:rFonts w:hint="eastAsia" w:ascii="仿宋" w:hAnsi="仿宋" w:eastAsia="仿宋"/>
          <w:b/>
          <w:sz w:val="32"/>
          <w:szCs w:val="32"/>
        </w:rPr>
        <w:t>（适用于私募证券投资基金）</w:t>
      </w:r>
    </w:p>
    <w:p>
      <w:pPr>
        <w:jc w:val="center"/>
        <w:rPr>
          <w:b/>
        </w:rPr>
      </w:pPr>
    </w:p>
    <w:p>
      <w:pPr>
        <w:jc w:val="center"/>
        <w:rPr>
          <w:rFonts w:ascii="仿宋" w:hAnsi="仿宋" w:eastAsia="仿宋"/>
          <w:b/>
        </w:rPr>
      </w:pPr>
      <w:r>
        <w:rPr>
          <w:rFonts w:hint="eastAsia" w:ascii="仿宋" w:hAnsi="仿宋" w:eastAsia="仿宋"/>
          <w:b/>
        </w:rPr>
        <w:t>使用说明</w:t>
      </w:r>
    </w:p>
    <w:p>
      <w:pPr>
        <w:numPr>
          <w:ilvl w:val="0"/>
          <w:numId w:val="1"/>
        </w:numPr>
        <w:jc w:val="left"/>
        <w:rPr>
          <w:rFonts w:ascii="仿宋" w:hAnsi="仿宋" w:eastAsia="仿宋"/>
        </w:rPr>
      </w:pPr>
      <w:r>
        <w:rPr>
          <w:rFonts w:hint="eastAsia" w:ascii="仿宋" w:hAnsi="仿宋" w:eastAsia="仿宋"/>
        </w:rPr>
        <w:t>本指引适用于私募证券投资基金。</w:t>
      </w:r>
    </w:p>
    <w:p>
      <w:pPr>
        <w:ind w:left="360"/>
        <w:jc w:val="left"/>
        <w:rPr>
          <w:rFonts w:ascii="仿宋" w:hAnsi="仿宋" w:eastAsia="仿宋"/>
        </w:rPr>
      </w:pPr>
    </w:p>
    <w:p>
      <w:pPr>
        <w:numPr>
          <w:ilvl w:val="0"/>
          <w:numId w:val="1"/>
        </w:numPr>
        <w:jc w:val="left"/>
        <w:rPr>
          <w:rFonts w:ascii="仿宋" w:hAnsi="仿宋" w:eastAsia="仿宋"/>
        </w:rPr>
      </w:pPr>
      <w:r>
        <w:rPr>
          <w:rFonts w:hint="eastAsia" w:ascii="仿宋" w:hAnsi="仿宋" w:eastAsia="仿宋"/>
        </w:rPr>
        <w:t>本指引作为私募证券投资基金运作期间的信息披露内容和格式要求。信息披露义务人应当参照本指引对所管理的私募证券投资基金编制披露信息表。</w:t>
      </w:r>
    </w:p>
    <w:p>
      <w:pPr>
        <w:jc w:val="left"/>
        <w:rPr>
          <w:rFonts w:ascii="仿宋" w:hAnsi="仿宋" w:eastAsia="仿宋"/>
        </w:rPr>
      </w:pPr>
    </w:p>
    <w:p>
      <w:pPr>
        <w:numPr>
          <w:ilvl w:val="0"/>
          <w:numId w:val="1"/>
        </w:numPr>
        <w:jc w:val="left"/>
        <w:rPr>
          <w:rFonts w:ascii="仿宋" w:hAnsi="仿宋" w:eastAsia="仿宋"/>
        </w:rPr>
      </w:pPr>
      <w:r>
        <w:rPr>
          <w:rFonts w:hint="eastAsia" w:ascii="仿宋" w:hAnsi="仿宋" w:eastAsia="仿宋"/>
        </w:rPr>
        <w:t>信息披露义务人的信息披露报告包括月度报告、季度报告和年度报告。</w:t>
      </w:r>
      <w:r>
        <w:rPr>
          <w:rFonts w:hint="eastAsia" w:ascii="仿宋" w:hAnsi="仿宋" w:eastAsia="仿宋"/>
          <w:color w:val="000000"/>
        </w:rPr>
        <w:t>月度报告应当在每月结束之日起5个工作日内完成。季度报告应在每季度结束之日起10个工作日内完成。</w:t>
      </w:r>
      <w:r>
        <w:rPr>
          <w:rFonts w:hint="eastAsia" w:ascii="仿宋" w:hAnsi="仿宋" w:eastAsia="仿宋"/>
        </w:rPr>
        <w:t>年度报告应在每个会计年度结束后的4个月内完成，每年4月30日前发布上一年度报告。</w:t>
      </w:r>
    </w:p>
    <w:p>
      <w:pPr>
        <w:pStyle w:val="26"/>
        <w:rPr>
          <w:rFonts w:ascii="仿宋" w:hAnsi="仿宋" w:eastAsia="仿宋"/>
        </w:rPr>
      </w:pPr>
    </w:p>
    <w:p>
      <w:pPr>
        <w:numPr>
          <w:ilvl w:val="0"/>
          <w:numId w:val="1"/>
        </w:numPr>
        <w:jc w:val="left"/>
        <w:rPr>
          <w:rFonts w:ascii="仿宋" w:hAnsi="仿宋" w:eastAsia="仿宋"/>
        </w:rPr>
      </w:pPr>
      <w:r>
        <w:rPr>
          <w:rFonts w:hint="eastAsia" w:ascii="仿宋" w:hAnsi="仿宋" w:eastAsia="仿宋"/>
        </w:rPr>
        <w:t>信息披露义务人保证本报告披露的信息不存在任何虚假记载、误导性陈述或者重大遗漏，并对内容的真实性、准确性、完整性承担法律责任。</w:t>
      </w:r>
    </w:p>
    <w:p>
      <w:pPr>
        <w:pStyle w:val="26"/>
        <w:rPr>
          <w:rFonts w:ascii="仿宋" w:hAnsi="仿宋" w:eastAsia="仿宋"/>
        </w:rPr>
      </w:pPr>
    </w:p>
    <w:p>
      <w:pPr>
        <w:numPr>
          <w:ilvl w:val="0"/>
          <w:numId w:val="1"/>
        </w:numPr>
        <w:jc w:val="left"/>
        <w:rPr>
          <w:rFonts w:ascii="仿宋" w:hAnsi="仿宋" w:eastAsia="仿宋"/>
        </w:rPr>
      </w:pPr>
      <w:r>
        <w:rPr>
          <w:rFonts w:hint="eastAsia" w:ascii="仿宋" w:hAnsi="仿宋" w:eastAsia="仿宋"/>
        </w:rPr>
        <w:t>除基金合同另有约定的外，月报、季报、年报应通过中国基金业协会指定的私募基金信息披露平台进行发布，投资者可以登录进行查询。</w:t>
      </w:r>
    </w:p>
    <w:p>
      <w:pPr>
        <w:widowControl/>
        <w:jc w:val="left"/>
        <w:rPr>
          <w:b/>
        </w:rPr>
      </w:pPr>
    </w:p>
    <w:p>
      <w:pPr>
        <w:jc w:val="left"/>
        <w:rPr>
          <w:b/>
        </w:rPr>
      </w:pPr>
    </w:p>
    <w:p>
      <w:pPr>
        <w:jc w:val="center"/>
        <w:rPr>
          <w:rFonts w:ascii="仿宋" w:hAnsi="仿宋" w:eastAsia="仿宋"/>
          <w:b/>
        </w:rPr>
      </w:pPr>
      <w:r>
        <w:rPr>
          <w:rFonts w:hint="eastAsia" w:ascii="仿宋" w:hAnsi="仿宋" w:eastAsia="仿宋"/>
          <w:b/>
        </w:rPr>
        <w:t>附表1  私募基金信息披露月报表</w:t>
      </w:r>
    </w:p>
    <w:p>
      <w:pPr>
        <w:jc w:val="center"/>
        <w:rPr>
          <w:rFonts w:ascii="仿宋" w:hAnsi="仿宋" w:eastAsia="仿宋"/>
        </w:rPr>
      </w:pPr>
    </w:p>
    <w:p>
      <w:pPr>
        <w:rPr>
          <w:rFonts w:ascii="仿宋" w:hAnsi="仿宋" w:eastAsia="仿宋"/>
          <w:b/>
        </w:rPr>
      </w:pPr>
      <w:r>
        <w:rPr>
          <w:rFonts w:hint="eastAsia" w:ascii="仿宋" w:hAnsi="仿宋" w:eastAsia="仿宋"/>
          <w:b/>
        </w:rPr>
        <w:t>1、基金概况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59"/>
        <w:gridCol w:w="241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仿宋" w:hAnsi="仿宋" w:eastAsia="仿宋"/>
              </w:rPr>
            </w:pPr>
            <w:r>
              <w:rPr>
                <w:rFonts w:hint="eastAsia" w:ascii="仿宋" w:hAnsi="仿宋" w:eastAsia="仿宋"/>
              </w:rPr>
              <w:t>基金名称</w:t>
            </w:r>
          </w:p>
        </w:tc>
        <w:tc>
          <w:tcPr>
            <w:tcW w:w="1959" w:type="dxa"/>
          </w:tcPr>
          <w:p>
            <w:pPr>
              <w:rPr>
                <w:rFonts w:ascii="仿宋" w:hAnsi="仿宋" w:eastAsia="仿宋"/>
              </w:rPr>
            </w:pPr>
          </w:p>
        </w:tc>
        <w:tc>
          <w:tcPr>
            <w:tcW w:w="2415" w:type="dxa"/>
          </w:tcPr>
          <w:p>
            <w:pPr>
              <w:rPr>
                <w:rFonts w:ascii="仿宋" w:hAnsi="仿宋" w:eastAsia="仿宋"/>
              </w:rPr>
            </w:pPr>
            <w:r>
              <w:rPr>
                <w:rFonts w:hint="eastAsia" w:ascii="仿宋" w:hAnsi="仿宋" w:eastAsia="仿宋"/>
              </w:rPr>
              <w:t>基金编号</w:t>
            </w:r>
          </w:p>
        </w:tc>
        <w:tc>
          <w:tcPr>
            <w:tcW w:w="20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rPr>
            </w:pPr>
            <w:r>
              <w:rPr>
                <w:rFonts w:hint="eastAsia" w:ascii="仿宋" w:hAnsi="仿宋" w:eastAsia="仿宋"/>
              </w:rPr>
              <w:t>基金运作方式</w:t>
            </w:r>
          </w:p>
        </w:tc>
        <w:tc>
          <w:tcPr>
            <w:tcW w:w="1959" w:type="dxa"/>
          </w:tcPr>
          <w:p>
            <w:pPr>
              <w:rPr>
                <w:rFonts w:ascii="仿宋" w:hAnsi="仿宋" w:eastAsia="仿宋"/>
              </w:rPr>
            </w:pPr>
          </w:p>
        </w:tc>
        <w:tc>
          <w:tcPr>
            <w:tcW w:w="2415" w:type="dxa"/>
          </w:tcPr>
          <w:p>
            <w:pPr>
              <w:rPr>
                <w:rFonts w:ascii="仿宋" w:hAnsi="仿宋" w:eastAsia="仿宋"/>
              </w:rPr>
            </w:pPr>
            <w:r>
              <w:rPr>
                <w:rFonts w:hint="eastAsia" w:ascii="仿宋" w:hAnsi="仿宋" w:eastAsia="仿宋"/>
              </w:rPr>
              <w:t>基金类型</w:t>
            </w:r>
          </w:p>
        </w:tc>
        <w:tc>
          <w:tcPr>
            <w:tcW w:w="20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rPr>
            </w:pPr>
            <w:r>
              <w:rPr>
                <w:rFonts w:hint="eastAsia" w:ascii="仿宋" w:hAnsi="仿宋" w:eastAsia="仿宋"/>
              </w:rPr>
              <w:t>基金管理人</w:t>
            </w:r>
          </w:p>
        </w:tc>
        <w:tc>
          <w:tcPr>
            <w:tcW w:w="1959" w:type="dxa"/>
          </w:tcPr>
          <w:p>
            <w:pPr>
              <w:rPr>
                <w:rFonts w:ascii="仿宋" w:hAnsi="仿宋" w:eastAsia="仿宋"/>
              </w:rPr>
            </w:pPr>
          </w:p>
        </w:tc>
        <w:tc>
          <w:tcPr>
            <w:tcW w:w="2415" w:type="dxa"/>
          </w:tcPr>
          <w:p>
            <w:pPr>
              <w:rPr>
                <w:rFonts w:ascii="仿宋" w:hAnsi="仿宋" w:eastAsia="仿宋"/>
              </w:rPr>
            </w:pPr>
            <w:r>
              <w:rPr>
                <w:rFonts w:hint="eastAsia" w:ascii="仿宋" w:hAnsi="仿宋" w:eastAsia="仿宋"/>
              </w:rPr>
              <w:t>基金托管人</w:t>
            </w:r>
          </w:p>
        </w:tc>
        <w:tc>
          <w:tcPr>
            <w:tcW w:w="20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rPr>
            </w:pPr>
            <w:r>
              <w:rPr>
                <w:rFonts w:hint="eastAsia" w:ascii="仿宋" w:hAnsi="仿宋" w:eastAsia="仿宋"/>
              </w:rPr>
              <w:t>基金合同生效日期</w:t>
            </w:r>
          </w:p>
        </w:tc>
        <w:tc>
          <w:tcPr>
            <w:tcW w:w="1959" w:type="dxa"/>
          </w:tcPr>
          <w:p>
            <w:pPr>
              <w:rPr>
                <w:rFonts w:ascii="仿宋" w:hAnsi="仿宋" w:eastAsia="仿宋"/>
              </w:rPr>
            </w:pPr>
          </w:p>
        </w:tc>
        <w:tc>
          <w:tcPr>
            <w:tcW w:w="2415" w:type="dxa"/>
          </w:tcPr>
          <w:p>
            <w:pPr>
              <w:rPr>
                <w:rFonts w:ascii="仿宋" w:hAnsi="仿宋" w:eastAsia="仿宋"/>
              </w:rPr>
            </w:pPr>
            <w:r>
              <w:rPr>
                <w:rFonts w:hint="eastAsia" w:ascii="仿宋" w:hAnsi="仿宋" w:eastAsia="仿宋"/>
              </w:rPr>
              <w:t>基金合同存续期截止日</w:t>
            </w:r>
          </w:p>
        </w:tc>
        <w:tc>
          <w:tcPr>
            <w:tcW w:w="2018" w:type="dxa"/>
          </w:tcPr>
          <w:p>
            <w:pPr>
              <w:rPr>
                <w:rFonts w:ascii="仿宋" w:hAnsi="仿宋" w:eastAsia="仿宋"/>
              </w:rPr>
            </w:pPr>
          </w:p>
        </w:tc>
      </w:tr>
    </w:tbl>
    <w:p>
      <w:pPr>
        <w:rPr>
          <w:rFonts w:ascii="仿宋" w:hAnsi="仿宋" w:eastAsia="仿宋"/>
          <w:b/>
        </w:rPr>
      </w:pPr>
    </w:p>
    <w:p>
      <w:pPr>
        <w:rPr>
          <w:rFonts w:ascii="仿宋" w:hAnsi="仿宋" w:eastAsia="仿宋"/>
          <w:b/>
        </w:rPr>
      </w:pPr>
      <w:r>
        <w:rPr>
          <w:rFonts w:hint="eastAsia" w:ascii="仿宋" w:hAnsi="仿宋" w:eastAsia="仿宋"/>
          <w:b/>
        </w:rPr>
        <w:t>2、净值月报</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241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rPr>
            </w:pPr>
            <w:r>
              <w:rPr>
                <w:rFonts w:hint="eastAsia" w:ascii="仿宋" w:hAnsi="仿宋" w:eastAsia="仿宋"/>
              </w:rPr>
              <w:t>估值日期</w:t>
            </w:r>
          </w:p>
        </w:tc>
        <w:tc>
          <w:tcPr>
            <w:tcW w:w="1984" w:type="dxa"/>
            <w:vAlign w:val="center"/>
          </w:tcPr>
          <w:p>
            <w:pPr>
              <w:jc w:val="center"/>
              <w:rPr>
                <w:rFonts w:ascii="仿宋" w:hAnsi="仿宋" w:eastAsia="仿宋"/>
              </w:rPr>
            </w:pPr>
            <w:r>
              <w:rPr>
                <w:rFonts w:hint="eastAsia" w:ascii="仿宋" w:hAnsi="仿宋" w:eastAsia="仿宋"/>
              </w:rPr>
              <w:t>份额净值</w:t>
            </w:r>
          </w:p>
        </w:tc>
        <w:tc>
          <w:tcPr>
            <w:tcW w:w="2410" w:type="dxa"/>
            <w:vAlign w:val="center"/>
          </w:tcPr>
          <w:p>
            <w:pPr>
              <w:jc w:val="center"/>
              <w:rPr>
                <w:rFonts w:ascii="仿宋" w:hAnsi="仿宋" w:eastAsia="仿宋"/>
              </w:rPr>
            </w:pPr>
            <w:r>
              <w:rPr>
                <w:rFonts w:hint="eastAsia" w:ascii="仿宋" w:hAnsi="仿宋" w:eastAsia="仿宋"/>
              </w:rPr>
              <w:t>份额累计净值</w:t>
            </w:r>
          </w:p>
        </w:tc>
        <w:tc>
          <w:tcPr>
            <w:tcW w:w="2035" w:type="dxa"/>
            <w:vAlign w:val="center"/>
          </w:tcPr>
          <w:p>
            <w:pPr>
              <w:jc w:val="center"/>
              <w:rPr>
                <w:rFonts w:ascii="仿宋" w:hAnsi="仿宋" w:eastAsia="仿宋"/>
              </w:rPr>
            </w:pPr>
            <w:r>
              <w:rPr>
                <w:rFonts w:hint="eastAsia" w:ascii="仿宋" w:hAnsi="仿宋" w:eastAsia="仿宋"/>
              </w:rPr>
              <w:t>基金资产净值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rPr>
            </w:pPr>
            <w:r>
              <w:rPr>
                <w:rFonts w:hint="eastAsia" w:ascii="仿宋" w:hAnsi="仿宋" w:eastAsia="仿宋"/>
              </w:rPr>
              <w:t>2016-02-29</w:t>
            </w:r>
          </w:p>
        </w:tc>
        <w:tc>
          <w:tcPr>
            <w:tcW w:w="1984" w:type="dxa"/>
            <w:vAlign w:val="center"/>
          </w:tcPr>
          <w:p>
            <w:pPr>
              <w:jc w:val="center"/>
              <w:rPr>
                <w:rFonts w:ascii="仿宋" w:hAnsi="仿宋" w:eastAsia="仿宋"/>
              </w:rPr>
            </w:pPr>
          </w:p>
        </w:tc>
        <w:tc>
          <w:tcPr>
            <w:tcW w:w="2410" w:type="dxa"/>
            <w:vAlign w:val="center"/>
          </w:tcPr>
          <w:p>
            <w:pPr>
              <w:jc w:val="center"/>
              <w:rPr>
                <w:rFonts w:ascii="仿宋" w:hAnsi="仿宋" w:eastAsia="仿宋"/>
              </w:rPr>
            </w:pPr>
          </w:p>
        </w:tc>
        <w:tc>
          <w:tcPr>
            <w:tcW w:w="2035"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rPr>
            </w:pPr>
            <w:r>
              <w:rPr>
                <w:rFonts w:hint="eastAsia" w:ascii="仿宋" w:hAnsi="仿宋" w:eastAsia="仿宋"/>
              </w:rPr>
              <w:t>2016-03-31</w:t>
            </w:r>
          </w:p>
        </w:tc>
        <w:tc>
          <w:tcPr>
            <w:tcW w:w="1984" w:type="dxa"/>
            <w:vAlign w:val="center"/>
          </w:tcPr>
          <w:p>
            <w:pPr>
              <w:jc w:val="center"/>
              <w:rPr>
                <w:rFonts w:ascii="仿宋" w:hAnsi="仿宋" w:eastAsia="仿宋"/>
              </w:rPr>
            </w:pPr>
          </w:p>
        </w:tc>
        <w:tc>
          <w:tcPr>
            <w:tcW w:w="2410" w:type="dxa"/>
            <w:vAlign w:val="center"/>
          </w:tcPr>
          <w:p>
            <w:pPr>
              <w:jc w:val="center"/>
              <w:rPr>
                <w:rFonts w:ascii="仿宋" w:hAnsi="仿宋" w:eastAsia="仿宋"/>
              </w:rPr>
            </w:pPr>
          </w:p>
        </w:tc>
        <w:tc>
          <w:tcPr>
            <w:tcW w:w="2035"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rPr>
            </w:pPr>
            <w:r>
              <w:rPr>
                <w:rFonts w:hint="eastAsia" w:ascii="仿宋" w:hAnsi="仿宋" w:eastAsia="仿宋"/>
              </w:rPr>
              <w:t>2016-04-30</w:t>
            </w:r>
          </w:p>
        </w:tc>
        <w:tc>
          <w:tcPr>
            <w:tcW w:w="1984" w:type="dxa"/>
            <w:vAlign w:val="center"/>
          </w:tcPr>
          <w:p>
            <w:pPr>
              <w:jc w:val="center"/>
              <w:rPr>
                <w:rFonts w:ascii="仿宋" w:hAnsi="仿宋" w:eastAsia="仿宋"/>
              </w:rPr>
            </w:pPr>
          </w:p>
        </w:tc>
        <w:tc>
          <w:tcPr>
            <w:tcW w:w="2410" w:type="dxa"/>
            <w:vAlign w:val="center"/>
          </w:tcPr>
          <w:p>
            <w:pPr>
              <w:jc w:val="center"/>
              <w:rPr>
                <w:rFonts w:ascii="仿宋" w:hAnsi="仿宋" w:eastAsia="仿宋"/>
              </w:rPr>
            </w:pPr>
          </w:p>
        </w:tc>
        <w:tc>
          <w:tcPr>
            <w:tcW w:w="2035"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rPr>
            </w:pPr>
            <w:r>
              <w:rPr>
                <w:rFonts w:hint="eastAsia" w:ascii="仿宋" w:hAnsi="仿宋" w:eastAsia="仿宋"/>
              </w:rPr>
              <w:t>……</w:t>
            </w:r>
          </w:p>
        </w:tc>
        <w:tc>
          <w:tcPr>
            <w:tcW w:w="1984" w:type="dxa"/>
            <w:vAlign w:val="center"/>
          </w:tcPr>
          <w:p>
            <w:pPr>
              <w:jc w:val="center"/>
              <w:rPr>
                <w:rFonts w:ascii="仿宋" w:hAnsi="仿宋" w:eastAsia="仿宋"/>
              </w:rPr>
            </w:pPr>
          </w:p>
        </w:tc>
        <w:tc>
          <w:tcPr>
            <w:tcW w:w="2410" w:type="dxa"/>
            <w:vAlign w:val="center"/>
          </w:tcPr>
          <w:p>
            <w:pPr>
              <w:jc w:val="center"/>
              <w:rPr>
                <w:rFonts w:ascii="仿宋" w:hAnsi="仿宋" w:eastAsia="仿宋"/>
              </w:rPr>
            </w:pPr>
          </w:p>
        </w:tc>
        <w:tc>
          <w:tcPr>
            <w:tcW w:w="2035" w:type="dxa"/>
            <w:vAlign w:val="center"/>
          </w:tcPr>
          <w:p>
            <w:pPr>
              <w:jc w:val="center"/>
              <w:rPr>
                <w:rFonts w:ascii="仿宋" w:hAnsi="仿宋" w:eastAsia="仿宋"/>
              </w:rPr>
            </w:pPr>
          </w:p>
        </w:tc>
      </w:tr>
    </w:tbl>
    <w:p>
      <w:pPr>
        <w:rPr>
          <w:rFonts w:ascii="仿宋" w:hAnsi="仿宋" w:eastAsia="仿宋"/>
        </w:rPr>
      </w:pPr>
      <w:r>
        <w:rPr>
          <w:rFonts w:hint="eastAsia" w:ascii="仿宋" w:hAnsi="仿宋" w:eastAsia="仿宋"/>
        </w:rPr>
        <w:t>注：</w:t>
      </w:r>
    </w:p>
    <w:p>
      <w:pPr>
        <w:ind w:firstLine="420" w:firstLineChars="200"/>
        <w:rPr>
          <w:rFonts w:ascii="仿宋" w:hAnsi="仿宋" w:eastAsia="仿宋"/>
        </w:rPr>
      </w:pPr>
      <w:r>
        <w:rPr>
          <w:rFonts w:hint="eastAsia" w:ascii="仿宋" w:hAnsi="仿宋" w:eastAsia="仿宋"/>
        </w:rPr>
        <w:t>1、份额净值，是每份基金单位的净资产价值，等于基金的总资产减去总负债后的余额再除以基金全部发行的单位份额总数。</w:t>
      </w:r>
    </w:p>
    <w:p>
      <w:pPr>
        <w:ind w:left="420"/>
        <w:rPr>
          <w:rFonts w:ascii="仿宋" w:hAnsi="仿宋" w:eastAsia="仿宋"/>
        </w:rPr>
      </w:pPr>
      <w:r>
        <w:rPr>
          <w:rFonts w:hint="eastAsia" w:ascii="仿宋" w:hAnsi="仿宋" w:eastAsia="仿宋"/>
        </w:rPr>
        <w:t>2、份额累计净值=份额净值+基金成立后累计份额分红金额。</w:t>
      </w:r>
    </w:p>
    <w:p>
      <w:pPr>
        <w:ind w:firstLine="420" w:firstLineChars="200"/>
        <w:rPr>
          <w:rFonts w:ascii="仿宋" w:hAnsi="仿宋" w:eastAsia="仿宋"/>
        </w:rPr>
      </w:pPr>
      <w:r>
        <w:rPr>
          <w:rFonts w:hint="eastAsia" w:ascii="仿宋" w:hAnsi="仿宋" w:eastAsia="仿宋"/>
        </w:rPr>
        <w:t>3、基金资产净值是指在某一基金估值时点上，按照公允价格计算的基金资产的总市值扣除负债后的余额，该余额是基金单位持有人的权益。</w:t>
      </w:r>
    </w:p>
    <w:p>
      <w:pPr>
        <w:jc w:val="center"/>
        <w:rPr>
          <w:rFonts w:ascii="仿宋" w:hAnsi="仿宋" w:eastAsia="仿宋"/>
          <w:b/>
        </w:rPr>
      </w:pPr>
      <w:r>
        <w:rPr>
          <w:rFonts w:ascii="仿宋" w:hAnsi="仿宋" w:eastAsia="仿宋"/>
          <w:b/>
          <w:color w:val="FF0000"/>
        </w:rPr>
        <w:br w:type="page"/>
      </w:r>
      <w:r>
        <w:rPr>
          <w:rFonts w:hint="eastAsia" w:ascii="仿宋" w:hAnsi="仿宋" w:eastAsia="仿宋"/>
          <w:b/>
        </w:rPr>
        <w:t>附表2  私募基金信息披露季度报表</w:t>
      </w:r>
    </w:p>
    <w:p>
      <w:pPr>
        <w:jc w:val="center"/>
        <w:rPr>
          <w:rFonts w:ascii="仿宋" w:hAnsi="仿宋" w:eastAsia="仿宋"/>
          <w:b/>
        </w:rPr>
      </w:pPr>
    </w:p>
    <w:p>
      <w:pPr>
        <w:numPr>
          <w:ilvl w:val="0"/>
          <w:numId w:val="2"/>
        </w:numPr>
        <w:rPr>
          <w:rFonts w:ascii="仿宋" w:hAnsi="仿宋" w:eastAsia="仿宋"/>
          <w:b/>
        </w:rPr>
      </w:pPr>
      <w:r>
        <w:rPr>
          <w:rFonts w:hint="eastAsia" w:ascii="仿宋" w:hAnsi="仿宋" w:eastAsia="仿宋"/>
          <w:b/>
        </w:rPr>
        <w:t>基金基本情况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b/>
              </w:rPr>
            </w:pPr>
            <w:r>
              <w:rPr>
                <w:rFonts w:hint="eastAsia" w:ascii="仿宋" w:hAnsi="仿宋" w:eastAsia="仿宋"/>
                <w:b/>
              </w:rPr>
              <w:t>项目</w:t>
            </w:r>
          </w:p>
        </w:tc>
        <w:tc>
          <w:tcPr>
            <w:tcW w:w="4261" w:type="dxa"/>
          </w:tcPr>
          <w:p>
            <w:pPr>
              <w:rPr>
                <w:rFonts w:ascii="仿宋" w:hAnsi="仿宋" w:eastAsia="仿宋"/>
                <w:b/>
              </w:rPr>
            </w:pPr>
            <w:r>
              <w:rPr>
                <w:rFonts w:hint="eastAsia" w:ascii="仿宋" w:hAnsi="仿宋" w:eastAsia="仿宋"/>
                <w:b/>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基金名称</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基金编号</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基金管理人</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基金托管人（如有）</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基金运作方式</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基金合同生效日期</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报告期末基金份额总额</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投资目标</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投资策略</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业绩比较基准（如有）</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风险收益特征</w:t>
            </w:r>
          </w:p>
        </w:tc>
        <w:tc>
          <w:tcPr>
            <w:tcW w:w="4261" w:type="dxa"/>
          </w:tcPr>
          <w:p>
            <w:pPr>
              <w:rPr>
                <w:rFonts w:ascii="仿宋" w:hAnsi="仿宋" w:eastAsia="仿宋"/>
              </w:rPr>
            </w:pPr>
          </w:p>
        </w:tc>
      </w:tr>
    </w:tbl>
    <w:p>
      <w:pPr>
        <w:rPr>
          <w:rFonts w:ascii="仿宋" w:hAnsi="仿宋" w:eastAsia="仿宋"/>
          <w:b/>
        </w:rPr>
      </w:pPr>
    </w:p>
    <w:p>
      <w:pPr>
        <w:rPr>
          <w:rFonts w:ascii="仿宋" w:hAnsi="仿宋" w:eastAsia="仿宋"/>
          <w:b/>
        </w:rPr>
      </w:pPr>
      <w:r>
        <w:rPr>
          <w:rFonts w:hint="eastAsia" w:ascii="仿宋" w:hAnsi="仿宋" w:eastAsia="仿宋"/>
          <w:b/>
        </w:rPr>
        <w:t>2、基金净值表现</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437"/>
        <w:gridCol w:w="1701"/>
        <w:gridCol w:w="184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jc w:val="center"/>
              <w:rPr>
                <w:rFonts w:ascii="仿宋" w:hAnsi="仿宋" w:eastAsia="仿宋"/>
                <w:b/>
              </w:rPr>
            </w:pPr>
            <w:r>
              <w:rPr>
                <w:rFonts w:hint="eastAsia" w:ascii="仿宋" w:hAnsi="仿宋" w:eastAsia="仿宋"/>
                <w:b/>
              </w:rPr>
              <w:t>阶段</w:t>
            </w:r>
          </w:p>
        </w:tc>
        <w:tc>
          <w:tcPr>
            <w:tcW w:w="1437" w:type="dxa"/>
            <w:vAlign w:val="center"/>
          </w:tcPr>
          <w:p>
            <w:pPr>
              <w:jc w:val="center"/>
              <w:rPr>
                <w:rFonts w:ascii="仿宋" w:hAnsi="仿宋" w:eastAsia="仿宋"/>
                <w:b/>
              </w:rPr>
            </w:pPr>
            <w:r>
              <w:rPr>
                <w:rFonts w:hint="eastAsia" w:ascii="仿宋" w:hAnsi="仿宋" w:eastAsia="仿宋"/>
                <w:b/>
              </w:rPr>
              <w:t>净值增长率</w:t>
            </w:r>
          </w:p>
        </w:tc>
        <w:tc>
          <w:tcPr>
            <w:tcW w:w="1701" w:type="dxa"/>
            <w:vAlign w:val="center"/>
          </w:tcPr>
          <w:p>
            <w:pPr>
              <w:jc w:val="center"/>
              <w:rPr>
                <w:rFonts w:ascii="仿宋" w:hAnsi="仿宋" w:eastAsia="仿宋"/>
                <w:b/>
              </w:rPr>
            </w:pPr>
            <w:r>
              <w:rPr>
                <w:rFonts w:hint="eastAsia" w:ascii="仿宋" w:hAnsi="仿宋" w:eastAsia="仿宋"/>
                <w:b/>
              </w:rPr>
              <w:t>净值增长率标准差（选填）</w:t>
            </w:r>
          </w:p>
        </w:tc>
        <w:tc>
          <w:tcPr>
            <w:tcW w:w="1842" w:type="dxa"/>
            <w:vAlign w:val="center"/>
          </w:tcPr>
          <w:p>
            <w:pPr>
              <w:jc w:val="center"/>
              <w:rPr>
                <w:rFonts w:ascii="仿宋" w:hAnsi="仿宋" w:eastAsia="仿宋"/>
                <w:b/>
              </w:rPr>
            </w:pPr>
            <w:r>
              <w:rPr>
                <w:rFonts w:hint="eastAsia" w:ascii="仿宋" w:hAnsi="仿宋" w:eastAsia="仿宋"/>
                <w:b/>
              </w:rPr>
              <w:t>业绩比较基准收益率（选填）</w:t>
            </w:r>
          </w:p>
        </w:tc>
        <w:tc>
          <w:tcPr>
            <w:tcW w:w="2177" w:type="dxa"/>
            <w:vAlign w:val="center"/>
          </w:tcPr>
          <w:p>
            <w:pPr>
              <w:jc w:val="center"/>
              <w:rPr>
                <w:rFonts w:ascii="仿宋" w:hAnsi="仿宋" w:eastAsia="仿宋"/>
                <w:b/>
              </w:rPr>
            </w:pPr>
            <w:r>
              <w:rPr>
                <w:rFonts w:hint="eastAsia" w:ascii="仿宋" w:hAnsi="仿宋" w:eastAsia="仿宋"/>
                <w:b/>
              </w:rPr>
              <w:t>业绩比较基准收益率标准差（选填）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65" w:type="dxa"/>
            <w:vAlign w:val="center"/>
          </w:tcPr>
          <w:p>
            <w:pPr>
              <w:jc w:val="center"/>
              <w:rPr>
                <w:rFonts w:ascii="仿宋" w:hAnsi="仿宋" w:eastAsia="仿宋"/>
              </w:rPr>
            </w:pPr>
            <w:r>
              <w:rPr>
                <w:rFonts w:hint="eastAsia" w:ascii="仿宋" w:hAnsi="仿宋" w:eastAsia="仿宋"/>
              </w:rPr>
              <w:t>当季</w:t>
            </w:r>
          </w:p>
        </w:tc>
        <w:tc>
          <w:tcPr>
            <w:tcW w:w="1437" w:type="dxa"/>
            <w:vAlign w:val="center"/>
          </w:tcPr>
          <w:p>
            <w:pPr>
              <w:jc w:val="center"/>
              <w:rPr>
                <w:rFonts w:ascii="仿宋" w:hAnsi="仿宋" w:eastAsia="仿宋"/>
              </w:rPr>
            </w:pPr>
          </w:p>
        </w:tc>
        <w:tc>
          <w:tcPr>
            <w:tcW w:w="1701" w:type="dxa"/>
            <w:vAlign w:val="center"/>
          </w:tcPr>
          <w:p>
            <w:pPr>
              <w:jc w:val="center"/>
              <w:rPr>
                <w:rFonts w:ascii="仿宋" w:hAnsi="仿宋" w:eastAsia="仿宋"/>
              </w:rPr>
            </w:pPr>
          </w:p>
        </w:tc>
        <w:tc>
          <w:tcPr>
            <w:tcW w:w="1842" w:type="dxa"/>
            <w:vAlign w:val="center"/>
          </w:tcPr>
          <w:p>
            <w:pPr>
              <w:jc w:val="center"/>
              <w:rPr>
                <w:rFonts w:ascii="仿宋" w:hAnsi="仿宋" w:eastAsia="仿宋"/>
              </w:rPr>
            </w:pPr>
          </w:p>
        </w:tc>
        <w:tc>
          <w:tcPr>
            <w:tcW w:w="21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jc w:val="center"/>
              <w:rPr>
                <w:rFonts w:ascii="仿宋" w:hAnsi="仿宋" w:eastAsia="仿宋"/>
              </w:rPr>
            </w:pPr>
            <w:r>
              <w:rPr>
                <w:rFonts w:hint="eastAsia" w:ascii="仿宋" w:hAnsi="仿宋" w:eastAsia="仿宋"/>
              </w:rPr>
              <w:t>自基金合同生效起至今</w:t>
            </w:r>
          </w:p>
        </w:tc>
        <w:tc>
          <w:tcPr>
            <w:tcW w:w="1437" w:type="dxa"/>
            <w:vAlign w:val="center"/>
          </w:tcPr>
          <w:p>
            <w:pPr>
              <w:jc w:val="center"/>
              <w:rPr>
                <w:rFonts w:ascii="仿宋" w:hAnsi="仿宋" w:eastAsia="仿宋"/>
              </w:rPr>
            </w:pPr>
          </w:p>
        </w:tc>
        <w:tc>
          <w:tcPr>
            <w:tcW w:w="1701" w:type="dxa"/>
            <w:vAlign w:val="center"/>
          </w:tcPr>
          <w:p>
            <w:pPr>
              <w:jc w:val="center"/>
              <w:rPr>
                <w:rFonts w:ascii="仿宋" w:hAnsi="仿宋" w:eastAsia="仿宋"/>
              </w:rPr>
            </w:pPr>
          </w:p>
        </w:tc>
        <w:tc>
          <w:tcPr>
            <w:tcW w:w="1842" w:type="dxa"/>
            <w:vAlign w:val="center"/>
          </w:tcPr>
          <w:p>
            <w:pPr>
              <w:jc w:val="center"/>
              <w:rPr>
                <w:rFonts w:ascii="仿宋" w:hAnsi="仿宋" w:eastAsia="仿宋"/>
              </w:rPr>
            </w:pPr>
          </w:p>
        </w:tc>
        <w:tc>
          <w:tcPr>
            <w:tcW w:w="2177" w:type="dxa"/>
            <w:vAlign w:val="center"/>
          </w:tcPr>
          <w:p>
            <w:pPr>
              <w:jc w:val="center"/>
              <w:rPr>
                <w:rFonts w:ascii="仿宋" w:hAnsi="仿宋" w:eastAsia="仿宋"/>
              </w:rPr>
            </w:pPr>
          </w:p>
        </w:tc>
      </w:tr>
    </w:tbl>
    <w:p>
      <w:pPr>
        <w:rPr>
          <w:rFonts w:ascii="仿宋" w:hAnsi="仿宋" w:eastAsia="仿宋"/>
        </w:rPr>
      </w:pPr>
      <w:r>
        <w:rPr>
          <w:rFonts w:hint="eastAsia" w:ascii="仿宋" w:hAnsi="仿宋" w:eastAsia="仿宋"/>
        </w:rPr>
        <w:t>注：净值增长率=（期末累计净值-期初累计净值）/期初累计净值</w:t>
      </w:r>
    </w:p>
    <w:p>
      <w:pPr>
        <w:ind w:firstLine="420" w:firstLineChars="200"/>
        <w:rPr>
          <w:rFonts w:ascii="仿宋" w:hAnsi="仿宋" w:eastAsia="仿宋"/>
        </w:rPr>
      </w:pPr>
      <w:r>
        <w:rPr>
          <w:rFonts w:hint="eastAsia" w:ascii="仿宋" w:hAnsi="仿宋" w:eastAsia="仿宋"/>
        </w:rPr>
        <w:t>当季净值增长率=（本季度末累计净值-上季度末累计净值）/上季度末累计净值</w:t>
      </w:r>
    </w:p>
    <w:p>
      <w:pPr>
        <w:rPr>
          <w:rFonts w:ascii="仿宋" w:hAnsi="仿宋" w:eastAsia="仿宋"/>
          <w:b/>
        </w:rPr>
      </w:pPr>
    </w:p>
    <w:p>
      <w:pPr>
        <w:rPr>
          <w:rFonts w:ascii="仿宋" w:hAnsi="仿宋" w:eastAsia="仿宋"/>
          <w:b/>
        </w:rPr>
      </w:pPr>
      <w:r>
        <w:rPr>
          <w:rFonts w:hint="eastAsia" w:ascii="仿宋" w:hAnsi="仿宋" w:eastAsia="仿宋"/>
          <w:b/>
        </w:rPr>
        <w:t xml:space="preserve">3、主要财务指标 </w:t>
      </w:r>
    </w:p>
    <w:p>
      <w:pPr>
        <w:wordWrap w:val="0"/>
        <w:jc w:val="right"/>
        <w:rPr>
          <w:rFonts w:ascii="仿宋" w:hAnsi="仿宋" w:eastAsia="仿宋"/>
        </w:rPr>
      </w:pPr>
      <w:r>
        <w:rPr>
          <w:rFonts w:hint="eastAsia" w:ascii="仿宋" w:hAnsi="仿宋" w:eastAsia="仿宋"/>
        </w:rPr>
        <w:t>单位：  元</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项目</w:t>
            </w:r>
          </w:p>
        </w:tc>
        <w:tc>
          <w:tcPr>
            <w:tcW w:w="4261" w:type="dxa"/>
          </w:tcPr>
          <w:p>
            <w:pPr>
              <w:rPr>
                <w:rFonts w:ascii="仿宋" w:hAnsi="仿宋" w:eastAsia="仿宋"/>
              </w:rPr>
            </w:pPr>
            <w:r>
              <w:rPr>
                <w:rFonts w:hint="eastAsia" w:ascii="仿宋" w:hAnsi="仿宋" w:eastAsia="仿宋"/>
              </w:rPr>
              <w:t>2016 -01-01至2016 -03-31(元)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本期已实现收益</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本期利润</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期末基金资产净值</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期末基金份额净值</w:t>
            </w:r>
          </w:p>
        </w:tc>
        <w:tc>
          <w:tcPr>
            <w:tcW w:w="4261" w:type="dxa"/>
          </w:tcPr>
          <w:p>
            <w:pPr>
              <w:rPr>
                <w:rFonts w:ascii="仿宋" w:hAnsi="仿宋" w:eastAsia="仿宋"/>
              </w:rPr>
            </w:pPr>
          </w:p>
        </w:tc>
      </w:tr>
    </w:tbl>
    <w:p>
      <w:pPr>
        <w:rPr>
          <w:rFonts w:ascii="仿宋" w:hAnsi="仿宋" w:eastAsia="仿宋"/>
          <w:b/>
        </w:rPr>
      </w:pPr>
    </w:p>
    <w:p>
      <w:pPr>
        <w:rPr>
          <w:rFonts w:ascii="仿宋" w:hAnsi="仿宋" w:eastAsia="仿宋"/>
          <w:b/>
        </w:rPr>
      </w:pPr>
      <w:r>
        <w:rPr>
          <w:rFonts w:hint="eastAsia" w:ascii="仿宋" w:hAnsi="仿宋" w:eastAsia="仿宋"/>
          <w:b/>
        </w:rPr>
        <w:t>4、投资组合情况</w:t>
      </w:r>
    </w:p>
    <w:p>
      <w:pPr>
        <w:rPr>
          <w:rFonts w:ascii="仿宋" w:hAnsi="仿宋" w:eastAsia="仿宋"/>
        </w:rPr>
      </w:pPr>
    </w:p>
    <w:p>
      <w:pPr>
        <w:rPr>
          <w:rFonts w:ascii="仿宋" w:hAnsi="仿宋" w:eastAsia="仿宋"/>
        </w:rPr>
      </w:pPr>
      <w:r>
        <w:rPr>
          <w:rFonts w:hint="eastAsia" w:ascii="仿宋" w:hAnsi="仿宋" w:eastAsia="仿宋"/>
        </w:rPr>
        <w:t>4.1期末基金资产组合情况</w:t>
      </w:r>
    </w:p>
    <w:p>
      <w:pPr>
        <w:jc w:val="right"/>
        <w:rPr>
          <w:rFonts w:ascii="仿宋" w:hAnsi="仿宋" w:eastAsia="仿宋"/>
        </w:rPr>
      </w:pPr>
      <w:r>
        <w:rPr>
          <w:rFonts w:hint="eastAsia" w:ascii="仿宋" w:hAnsi="仿宋" w:eastAsia="仿宋"/>
        </w:rPr>
        <w:t>金额单位：元</w:t>
      </w:r>
    </w:p>
    <w:tbl>
      <w:tblPr>
        <w:tblStyle w:val="16"/>
        <w:tblW w:w="8369" w:type="dxa"/>
        <w:tblInd w:w="0" w:type="dxa"/>
        <w:tblLayout w:type="fixed"/>
        <w:tblCellMar>
          <w:top w:w="0" w:type="dxa"/>
          <w:left w:w="0" w:type="dxa"/>
          <w:bottom w:w="0" w:type="dxa"/>
          <w:right w:w="0" w:type="dxa"/>
        </w:tblCellMar>
      </w:tblPr>
      <w:tblGrid>
        <w:gridCol w:w="670"/>
        <w:gridCol w:w="3839"/>
        <w:gridCol w:w="1730"/>
        <w:gridCol w:w="2130"/>
      </w:tblGrid>
      <w:tr>
        <w:tblPrEx>
          <w:tblLayout w:type="fixed"/>
          <w:tblCellMar>
            <w:top w:w="0" w:type="dxa"/>
            <w:left w:w="0" w:type="dxa"/>
            <w:bottom w:w="0" w:type="dxa"/>
            <w:right w:w="0" w:type="dxa"/>
          </w:tblCellMar>
        </w:tblPrEx>
        <w:trPr>
          <w:trHeight w:val="20"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hint="eastAsia" w:ascii="仿宋" w:hAnsi="仿宋" w:eastAsia="仿宋"/>
                <w:b/>
                <w:color w:val="000000"/>
                <w:szCs w:val="21"/>
              </w:rPr>
              <w:t>序号</w:t>
            </w:r>
          </w:p>
        </w:tc>
        <w:tc>
          <w:tcPr>
            <w:tcW w:w="383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ascii="仿宋" w:hAnsi="仿宋" w:eastAsia="仿宋"/>
                <w:b/>
                <w:color w:val="000000"/>
                <w:szCs w:val="21"/>
              </w:rPr>
              <w:t>项目</w:t>
            </w:r>
          </w:p>
        </w:tc>
        <w:tc>
          <w:tcPr>
            <w:tcW w:w="17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ascii="仿宋" w:hAnsi="仿宋" w:eastAsia="仿宋"/>
                <w:b/>
                <w:color w:val="000000"/>
                <w:szCs w:val="21"/>
              </w:rPr>
              <w:t>金额</w:t>
            </w:r>
          </w:p>
          <w:p>
            <w:pPr>
              <w:adjustRightInd w:val="0"/>
              <w:snapToGrid w:val="0"/>
              <w:jc w:val="center"/>
              <w:rPr>
                <w:rFonts w:ascii="仿宋" w:hAnsi="仿宋" w:eastAsia="仿宋"/>
                <w:b/>
                <w:color w:val="000000"/>
                <w:szCs w:val="21"/>
              </w:rPr>
            </w:pPr>
            <w:r>
              <w:rPr>
                <w:rFonts w:hint="eastAsia" w:ascii="仿宋" w:hAnsi="仿宋" w:eastAsia="仿宋"/>
                <w:b/>
                <w:color w:val="000000"/>
                <w:szCs w:val="21"/>
              </w:rPr>
              <w:t>（××元）</w:t>
            </w:r>
          </w:p>
        </w:tc>
        <w:tc>
          <w:tcPr>
            <w:tcW w:w="21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ascii="仿宋" w:hAnsi="仿宋" w:eastAsia="仿宋"/>
                <w:b/>
                <w:color w:val="000000"/>
                <w:szCs w:val="21"/>
              </w:rPr>
              <w:t>占基金总资产的</w:t>
            </w:r>
          </w:p>
          <w:p>
            <w:pPr>
              <w:adjustRightInd w:val="0"/>
              <w:snapToGrid w:val="0"/>
              <w:jc w:val="center"/>
              <w:rPr>
                <w:rFonts w:ascii="仿宋" w:hAnsi="仿宋" w:eastAsia="仿宋"/>
                <w:b/>
                <w:color w:val="000000"/>
                <w:szCs w:val="21"/>
              </w:rPr>
            </w:pPr>
            <w:r>
              <w:rPr>
                <w:rFonts w:ascii="仿宋" w:hAnsi="仿宋" w:eastAsia="仿宋"/>
                <w:b/>
                <w:color w:val="000000"/>
                <w:szCs w:val="21"/>
              </w:rPr>
              <w:t>比例（%）</w:t>
            </w: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1</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权益投资</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其中：普通股</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ind w:firstLine="630" w:firstLineChars="300"/>
              <w:rPr>
                <w:rFonts w:ascii="仿宋" w:hAnsi="仿宋" w:eastAsia="仿宋"/>
                <w:color w:val="000000"/>
                <w:szCs w:val="21"/>
              </w:rPr>
            </w:pPr>
            <w:r>
              <w:rPr>
                <w:rFonts w:hint="eastAsia" w:ascii="仿宋" w:hAnsi="仿宋" w:eastAsia="仿宋"/>
                <w:color w:val="000000"/>
                <w:szCs w:val="21"/>
              </w:rPr>
              <w:t>存托凭证</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2</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基金投资</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3</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固定收益投资</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其中：</w:t>
            </w:r>
            <w:r>
              <w:rPr>
                <w:rFonts w:ascii="仿宋" w:hAnsi="仿宋" w:eastAsia="仿宋"/>
                <w:color w:val="000000"/>
                <w:szCs w:val="21"/>
              </w:rPr>
              <w:t>债券</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ascii="仿宋" w:hAnsi="仿宋" w:eastAsia="仿宋"/>
                <w:color w:val="000000"/>
                <w:szCs w:val="21"/>
              </w:rPr>
              <w:t>资产支持证券</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4</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金融衍生品投资</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其中：远期</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ind w:firstLine="630" w:firstLineChars="300"/>
              <w:rPr>
                <w:rFonts w:ascii="仿宋" w:hAnsi="仿宋" w:eastAsia="仿宋"/>
                <w:color w:val="000000"/>
                <w:szCs w:val="21"/>
              </w:rPr>
            </w:pPr>
            <w:r>
              <w:rPr>
                <w:rFonts w:hint="eastAsia" w:ascii="仿宋" w:hAnsi="仿宋" w:eastAsia="仿宋"/>
                <w:color w:val="000000"/>
                <w:szCs w:val="21"/>
              </w:rPr>
              <w:t>期货</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ind w:firstLine="630" w:firstLineChars="300"/>
              <w:rPr>
                <w:rFonts w:ascii="仿宋" w:hAnsi="仿宋" w:eastAsia="仿宋"/>
                <w:color w:val="000000"/>
                <w:szCs w:val="21"/>
              </w:rPr>
            </w:pPr>
            <w:r>
              <w:rPr>
                <w:rFonts w:hint="eastAsia" w:ascii="仿宋" w:hAnsi="仿宋" w:eastAsia="仿宋"/>
                <w:color w:val="000000"/>
                <w:szCs w:val="21"/>
              </w:rPr>
              <w:t>期权</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ind w:firstLine="625" w:firstLineChars="298"/>
              <w:rPr>
                <w:rFonts w:ascii="仿宋" w:hAnsi="仿宋" w:eastAsia="仿宋"/>
                <w:color w:val="000000"/>
                <w:szCs w:val="21"/>
              </w:rPr>
            </w:pPr>
            <w:r>
              <w:rPr>
                <w:rFonts w:hint="eastAsia" w:ascii="仿宋" w:hAnsi="仿宋" w:eastAsia="仿宋"/>
                <w:color w:val="000000"/>
                <w:szCs w:val="21"/>
              </w:rPr>
              <w:t>权证</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5</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买入返售金融资产</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ind w:left="630" w:hanging="630" w:hangingChars="300"/>
              <w:rPr>
                <w:rFonts w:ascii="仿宋" w:hAnsi="仿宋" w:eastAsia="仿宋"/>
                <w:color w:val="000000"/>
                <w:szCs w:val="21"/>
              </w:rPr>
            </w:pPr>
            <w:r>
              <w:rPr>
                <w:rFonts w:ascii="仿宋" w:hAnsi="仿宋" w:eastAsia="仿宋"/>
                <w:color w:val="000000"/>
                <w:szCs w:val="21"/>
              </w:rPr>
              <w:t>其中：买断式回购的买入返售</w:t>
            </w:r>
            <w:r>
              <w:rPr>
                <w:rFonts w:hint="eastAsia" w:ascii="仿宋" w:hAnsi="仿宋" w:eastAsia="仿宋"/>
                <w:color w:val="000000"/>
                <w:szCs w:val="21"/>
              </w:rPr>
              <w:t>金融资产</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6</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货币市场工具</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7</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银行存款和结算备付金合计</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ascii="仿宋" w:hAnsi="仿宋" w:eastAsia="仿宋"/>
                <w:color w:val="000000"/>
                <w:szCs w:val="21"/>
              </w:rPr>
              <w:t>…</w:t>
            </w: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312"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839"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合计</w:t>
            </w:r>
          </w:p>
        </w:tc>
        <w:tc>
          <w:tcPr>
            <w:tcW w:w="17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13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bl>
    <w:p>
      <w:pPr>
        <w:rPr>
          <w:rFonts w:ascii="仿宋" w:hAnsi="仿宋" w:eastAsia="仿宋"/>
        </w:rPr>
      </w:pPr>
    </w:p>
    <w:p>
      <w:pPr>
        <w:rPr>
          <w:rFonts w:ascii="仿宋" w:hAnsi="仿宋" w:eastAsia="仿宋"/>
        </w:rPr>
      </w:pPr>
      <w:r>
        <w:rPr>
          <w:rFonts w:hint="eastAsia" w:ascii="仿宋" w:hAnsi="仿宋" w:eastAsia="仿宋"/>
        </w:rPr>
        <w:t>4.2报告期末按行业分类的股票投资组合</w:t>
      </w:r>
    </w:p>
    <w:p>
      <w:pPr>
        <w:jc w:val="right"/>
        <w:rPr>
          <w:rFonts w:ascii="仿宋" w:hAnsi="仿宋" w:eastAsia="仿宋"/>
        </w:rPr>
      </w:pPr>
      <w:r>
        <w:rPr>
          <w:rFonts w:hint="eastAsia" w:ascii="仿宋" w:hAnsi="仿宋" w:eastAsia="仿宋"/>
        </w:rPr>
        <w:t>金额单位：元</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44"/>
        <w:gridCol w:w="1418"/>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b/>
              </w:rPr>
            </w:pPr>
            <w:r>
              <w:rPr>
                <w:rFonts w:hint="eastAsia" w:ascii="仿宋" w:hAnsi="仿宋" w:eastAsia="仿宋"/>
                <w:b/>
              </w:rPr>
              <w:t>序号</w:t>
            </w:r>
          </w:p>
        </w:tc>
        <w:tc>
          <w:tcPr>
            <w:tcW w:w="3544" w:type="dxa"/>
            <w:vAlign w:val="center"/>
          </w:tcPr>
          <w:p>
            <w:pPr>
              <w:rPr>
                <w:rFonts w:ascii="仿宋" w:hAnsi="仿宋" w:eastAsia="仿宋"/>
                <w:b/>
              </w:rPr>
            </w:pPr>
            <w:r>
              <w:rPr>
                <w:rFonts w:hint="eastAsia" w:ascii="仿宋" w:hAnsi="仿宋" w:eastAsia="仿宋"/>
                <w:b/>
              </w:rPr>
              <w:t>行业类别</w:t>
            </w:r>
          </w:p>
        </w:tc>
        <w:tc>
          <w:tcPr>
            <w:tcW w:w="1418" w:type="dxa"/>
            <w:vAlign w:val="center"/>
          </w:tcPr>
          <w:p>
            <w:pPr>
              <w:rPr>
                <w:rFonts w:ascii="仿宋" w:hAnsi="仿宋" w:eastAsia="仿宋"/>
                <w:b/>
              </w:rPr>
            </w:pPr>
            <w:r>
              <w:rPr>
                <w:rFonts w:hint="eastAsia" w:ascii="仿宋" w:hAnsi="仿宋" w:eastAsia="仿宋"/>
                <w:b/>
              </w:rPr>
              <w:t>公允价值</w:t>
            </w:r>
          </w:p>
        </w:tc>
        <w:tc>
          <w:tcPr>
            <w:tcW w:w="2885" w:type="dxa"/>
            <w:vAlign w:val="center"/>
          </w:tcPr>
          <w:p>
            <w:pPr>
              <w:rPr>
                <w:rFonts w:ascii="仿宋" w:hAnsi="仿宋" w:eastAsia="仿宋"/>
                <w:b/>
              </w:rPr>
            </w:pPr>
            <w:r>
              <w:rPr>
                <w:rFonts w:hint="eastAsia" w:ascii="仿宋" w:hAnsi="仿宋" w:eastAsia="仿宋"/>
                <w:b/>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A</w:t>
            </w:r>
          </w:p>
        </w:tc>
        <w:tc>
          <w:tcPr>
            <w:tcW w:w="3544" w:type="dxa"/>
            <w:vAlign w:val="center"/>
          </w:tcPr>
          <w:p>
            <w:pPr>
              <w:rPr>
                <w:rFonts w:ascii="仿宋" w:hAnsi="仿宋" w:eastAsia="仿宋"/>
                <w:szCs w:val="21"/>
              </w:rPr>
            </w:pPr>
            <w:r>
              <w:rPr>
                <w:rFonts w:hint="eastAsia" w:ascii="仿宋" w:hAnsi="仿宋" w:eastAsia="仿宋" w:cs="宋体"/>
                <w:kern w:val="0"/>
                <w:szCs w:val="21"/>
              </w:rPr>
              <w:t>农、林、牧、渔业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B</w:t>
            </w:r>
          </w:p>
        </w:tc>
        <w:tc>
          <w:tcPr>
            <w:tcW w:w="3544" w:type="dxa"/>
            <w:vAlign w:val="center"/>
          </w:tcPr>
          <w:p>
            <w:pPr>
              <w:rPr>
                <w:rFonts w:ascii="仿宋" w:hAnsi="仿宋" w:eastAsia="仿宋"/>
                <w:szCs w:val="21"/>
              </w:rPr>
            </w:pPr>
            <w:r>
              <w:rPr>
                <w:rFonts w:hint="eastAsia" w:ascii="仿宋" w:hAnsi="仿宋" w:eastAsia="仿宋" w:cs="宋体"/>
                <w:kern w:val="0"/>
                <w:szCs w:val="21"/>
              </w:rPr>
              <w:t>采矿业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C</w:t>
            </w:r>
          </w:p>
        </w:tc>
        <w:tc>
          <w:tcPr>
            <w:tcW w:w="3544" w:type="dxa"/>
            <w:vAlign w:val="center"/>
          </w:tcPr>
          <w:p>
            <w:pPr>
              <w:rPr>
                <w:rFonts w:ascii="仿宋" w:hAnsi="仿宋" w:eastAsia="仿宋"/>
                <w:szCs w:val="21"/>
              </w:rPr>
            </w:pPr>
            <w:r>
              <w:rPr>
                <w:rFonts w:hint="eastAsia" w:ascii="仿宋" w:hAnsi="仿宋" w:eastAsia="仿宋" w:cs="宋体"/>
                <w:kern w:val="0"/>
                <w:szCs w:val="21"/>
              </w:rPr>
              <w:t>制造业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D</w:t>
            </w:r>
          </w:p>
        </w:tc>
        <w:tc>
          <w:tcPr>
            <w:tcW w:w="3544" w:type="dxa"/>
            <w:vAlign w:val="center"/>
          </w:tcPr>
          <w:p>
            <w:pPr>
              <w:rPr>
                <w:rFonts w:ascii="仿宋" w:hAnsi="仿宋" w:eastAsia="仿宋"/>
                <w:szCs w:val="21"/>
              </w:rPr>
            </w:pPr>
            <w:r>
              <w:rPr>
                <w:rFonts w:hint="eastAsia" w:ascii="仿宋" w:hAnsi="仿宋" w:eastAsia="仿宋" w:cs="宋体"/>
                <w:kern w:val="0"/>
                <w:szCs w:val="21"/>
              </w:rPr>
              <w:t>电力、热力、燃气及水生产和供应业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E</w:t>
            </w:r>
          </w:p>
        </w:tc>
        <w:tc>
          <w:tcPr>
            <w:tcW w:w="3544" w:type="dxa"/>
            <w:vAlign w:val="center"/>
          </w:tcPr>
          <w:p>
            <w:pPr>
              <w:rPr>
                <w:rFonts w:ascii="仿宋" w:hAnsi="仿宋" w:eastAsia="仿宋"/>
                <w:szCs w:val="21"/>
              </w:rPr>
            </w:pPr>
            <w:r>
              <w:rPr>
                <w:rFonts w:hint="eastAsia" w:ascii="仿宋" w:hAnsi="仿宋" w:eastAsia="仿宋" w:cs="宋体"/>
                <w:kern w:val="0"/>
                <w:szCs w:val="21"/>
              </w:rPr>
              <w:t>建筑业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F</w:t>
            </w:r>
          </w:p>
        </w:tc>
        <w:tc>
          <w:tcPr>
            <w:tcW w:w="3544" w:type="dxa"/>
            <w:vAlign w:val="center"/>
          </w:tcPr>
          <w:p>
            <w:pPr>
              <w:rPr>
                <w:rFonts w:ascii="仿宋" w:hAnsi="仿宋" w:eastAsia="仿宋"/>
                <w:szCs w:val="21"/>
              </w:rPr>
            </w:pPr>
            <w:r>
              <w:rPr>
                <w:rFonts w:hint="eastAsia" w:ascii="仿宋" w:hAnsi="仿宋" w:eastAsia="仿宋" w:cs="宋体"/>
                <w:kern w:val="0"/>
                <w:szCs w:val="21"/>
              </w:rPr>
              <w:t>批发和零售业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G</w:t>
            </w:r>
          </w:p>
        </w:tc>
        <w:tc>
          <w:tcPr>
            <w:tcW w:w="3544" w:type="dxa"/>
            <w:vAlign w:val="center"/>
          </w:tcPr>
          <w:p>
            <w:pPr>
              <w:rPr>
                <w:rFonts w:ascii="仿宋" w:hAnsi="仿宋" w:eastAsia="仿宋"/>
                <w:szCs w:val="21"/>
              </w:rPr>
            </w:pPr>
            <w:r>
              <w:rPr>
                <w:rFonts w:hint="eastAsia" w:ascii="仿宋" w:hAnsi="仿宋" w:eastAsia="仿宋" w:cs="宋体"/>
                <w:kern w:val="0"/>
                <w:szCs w:val="21"/>
              </w:rPr>
              <w:t>交通运输、仓储和邮政业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H</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住宿和餐饮业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I</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信息传输、软件和信息技术服务业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J</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金融业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K</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房地产业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L</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租赁和商务服务业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M</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科学研究和技术服务业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N</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水利、环境和公共设施管理业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O</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居民服务、修理和其他服务业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P</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教育</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Q</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卫生和社会工作</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R</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文化、体育和娱乐业</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r>
              <w:rPr>
                <w:rFonts w:hint="eastAsia" w:ascii="仿宋" w:hAnsi="仿宋" w:eastAsia="仿宋"/>
              </w:rPr>
              <w:t>S</w:t>
            </w:r>
          </w:p>
        </w:tc>
        <w:tc>
          <w:tcPr>
            <w:tcW w:w="3544" w:type="dxa"/>
            <w:vAlign w:val="center"/>
          </w:tcPr>
          <w:p>
            <w:pPr>
              <w:rPr>
                <w:rFonts w:ascii="仿宋" w:hAnsi="仿宋" w:eastAsia="仿宋" w:cs="宋体"/>
                <w:kern w:val="0"/>
                <w:szCs w:val="21"/>
              </w:rPr>
            </w:pPr>
            <w:r>
              <w:rPr>
                <w:rFonts w:hint="eastAsia" w:ascii="仿宋" w:hAnsi="仿宋" w:eastAsia="仿宋" w:cs="宋体"/>
                <w:kern w:val="0"/>
                <w:szCs w:val="21"/>
              </w:rPr>
              <w:t>综合</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rPr>
            </w:pPr>
          </w:p>
        </w:tc>
        <w:tc>
          <w:tcPr>
            <w:tcW w:w="3544" w:type="dxa"/>
            <w:vAlign w:val="center"/>
          </w:tcPr>
          <w:p>
            <w:pPr>
              <w:rPr>
                <w:rFonts w:ascii="仿宋" w:hAnsi="仿宋" w:eastAsia="仿宋" w:cs="宋体"/>
                <w:b/>
                <w:kern w:val="0"/>
                <w:szCs w:val="21"/>
              </w:rPr>
            </w:pPr>
            <w:r>
              <w:rPr>
                <w:rFonts w:hint="eastAsia" w:ascii="仿宋" w:hAnsi="仿宋" w:eastAsia="仿宋" w:cs="宋体"/>
                <w:b/>
                <w:kern w:val="0"/>
                <w:szCs w:val="21"/>
              </w:rPr>
              <w:t>合计</w:t>
            </w:r>
          </w:p>
        </w:tc>
        <w:tc>
          <w:tcPr>
            <w:tcW w:w="1418" w:type="dxa"/>
            <w:vAlign w:val="center"/>
          </w:tcPr>
          <w:p>
            <w:pPr>
              <w:rPr>
                <w:rFonts w:ascii="仿宋" w:hAnsi="仿宋" w:eastAsia="仿宋"/>
              </w:rPr>
            </w:pPr>
          </w:p>
        </w:tc>
        <w:tc>
          <w:tcPr>
            <w:tcW w:w="2885" w:type="dxa"/>
            <w:vAlign w:val="center"/>
          </w:tcPr>
          <w:p>
            <w:pPr>
              <w:rPr>
                <w:rFonts w:ascii="仿宋" w:hAnsi="仿宋" w:eastAsia="仿宋"/>
              </w:rPr>
            </w:pPr>
          </w:p>
        </w:tc>
      </w:tr>
    </w:tbl>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b/>
        </w:rPr>
      </w:pPr>
      <w:r>
        <w:rPr>
          <w:rFonts w:hint="eastAsia" w:ascii="仿宋" w:hAnsi="仿宋" w:eastAsia="仿宋"/>
          <w:b/>
        </w:rPr>
        <w:t>5、基金份额变动情况</w:t>
      </w:r>
    </w:p>
    <w:p>
      <w:pPr>
        <w:adjustRightInd w:val="0"/>
        <w:snapToGrid w:val="0"/>
        <w:spacing w:line="360" w:lineRule="exact"/>
        <w:jc w:val="right"/>
        <w:rPr>
          <w:rFonts w:ascii="仿宋" w:hAnsi="仿宋" w:eastAsia="仿宋"/>
          <w:szCs w:val="21"/>
        </w:rPr>
      </w:pPr>
      <w:r>
        <w:rPr>
          <w:rFonts w:hint="eastAsia" w:ascii="仿宋" w:hAnsi="仿宋" w:eastAsia="仿宋"/>
          <w:szCs w:val="21"/>
        </w:rPr>
        <w:t>单位：份</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报告期期初基金份额总额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报告期期间基金总申购份额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减：报告期期间基金总赎回份额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报告期期间基金拆分变动份额（份额减少以“-”填列）</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报告期期末基金份额总额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bl>
    <w:p>
      <w:pPr>
        <w:jc w:val="left"/>
        <w:rPr>
          <w:rFonts w:ascii="仿宋" w:hAnsi="仿宋" w:eastAsia="仿宋"/>
          <w:b/>
        </w:rPr>
      </w:pPr>
    </w:p>
    <w:p>
      <w:pPr>
        <w:jc w:val="left"/>
        <w:rPr>
          <w:rFonts w:ascii="仿宋" w:hAnsi="仿宋" w:eastAsia="仿宋"/>
          <w:b/>
        </w:rPr>
      </w:pPr>
      <w:r>
        <w:rPr>
          <w:rFonts w:hint="eastAsia" w:ascii="仿宋" w:hAnsi="仿宋" w:eastAsia="仿宋"/>
          <w:b/>
        </w:rPr>
        <w:t>6、管理人报告（</w:t>
      </w:r>
      <w:r>
        <w:rPr>
          <w:rFonts w:hint="eastAsia" w:ascii="仿宋" w:hAnsi="仿宋" w:eastAsia="仿宋"/>
        </w:rPr>
        <w:t>如报告期内高管、基金经理及其关联基金经验、基金运作遵规守信情况、基金投资策略和业绩表现、对宏观经济、证券市场及其行业走势展望、内部基金监察稽核工作、基金估值程序、基金运作情况和运用杠杆情况、投资收益分配和损失承担情况、会计师事务所出具非标准审计报告所涉相关事项、对本基金持有人数或基金资产净值预警情形、可能存在的利益冲突等</w:t>
      </w:r>
      <w:r>
        <w:rPr>
          <w:rFonts w:hint="eastAsia" w:ascii="仿宋" w:hAnsi="仿宋" w:eastAsia="仿宋"/>
          <w:b/>
        </w:rPr>
        <w:t>）</w:t>
      </w:r>
    </w:p>
    <w:p>
      <w:pPr>
        <w:jc w:val="left"/>
        <w:rPr>
          <w:rFonts w:ascii="仿宋" w:hAnsi="仿宋" w:eastAsia="仿宋"/>
          <w:b/>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tc>
      </w:tr>
    </w:tbl>
    <w:p>
      <w:pPr>
        <w:jc w:val="center"/>
        <w:rPr>
          <w:rFonts w:ascii="仿宋" w:hAnsi="仿宋" w:eastAsia="仿宋"/>
          <w:b/>
        </w:rPr>
      </w:pPr>
      <w:r>
        <w:rPr>
          <w:rFonts w:ascii="仿宋" w:hAnsi="仿宋" w:eastAsia="仿宋"/>
          <w:b/>
        </w:rPr>
        <w:br w:type="page"/>
      </w:r>
      <w:r>
        <w:rPr>
          <w:rFonts w:hint="eastAsia" w:ascii="仿宋" w:hAnsi="仿宋" w:eastAsia="仿宋"/>
          <w:b/>
        </w:rPr>
        <w:t>附表3 私募基金信息披露年度报表</w:t>
      </w:r>
    </w:p>
    <w:p>
      <w:pPr>
        <w:jc w:val="center"/>
        <w:rPr>
          <w:rFonts w:ascii="仿宋" w:hAnsi="仿宋" w:eastAsia="仿宋"/>
          <w:b/>
        </w:rPr>
      </w:pPr>
    </w:p>
    <w:p>
      <w:pPr>
        <w:rPr>
          <w:rFonts w:ascii="仿宋" w:hAnsi="仿宋" w:eastAsia="仿宋"/>
          <w:b/>
        </w:rPr>
      </w:pPr>
      <w:r>
        <w:rPr>
          <w:rFonts w:hint="eastAsia" w:ascii="仿宋" w:hAnsi="仿宋" w:eastAsia="仿宋"/>
          <w:b/>
        </w:rPr>
        <w:t>1、基金产品概况</w:t>
      </w:r>
    </w:p>
    <w:p>
      <w:pPr>
        <w:rPr>
          <w:rFonts w:ascii="仿宋" w:hAnsi="仿宋" w:eastAsia="仿宋"/>
        </w:rPr>
      </w:pPr>
    </w:p>
    <w:p>
      <w:pPr>
        <w:rPr>
          <w:rFonts w:ascii="仿宋" w:hAnsi="仿宋" w:eastAsia="仿宋"/>
        </w:rPr>
      </w:pPr>
      <w:r>
        <w:rPr>
          <w:rFonts w:hint="eastAsia" w:ascii="仿宋" w:hAnsi="仿宋" w:eastAsia="仿宋"/>
        </w:rPr>
        <w:t>1.1基金基本情况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基金名称</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基金编号</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基金运作方式</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基金合同生效日期</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基金管理人</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基金托管人</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报告期末基金份额总额</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基金合同存续期</w:t>
            </w:r>
          </w:p>
        </w:tc>
        <w:tc>
          <w:tcPr>
            <w:tcW w:w="4261" w:type="dxa"/>
          </w:tcPr>
          <w:p>
            <w:pPr>
              <w:rPr>
                <w:rFonts w:ascii="仿宋" w:hAnsi="仿宋" w:eastAsia="仿宋"/>
              </w:rPr>
            </w:pPr>
          </w:p>
        </w:tc>
      </w:tr>
    </w:tbl>
    <w:p>
      <w:pPr>
        <w:rPr>
          <w:rFonts w:ascii="仿宋" w:hAnsi="仿宋" w:eastAsia="仿宋"/>
        </w:rPr>
      </w:pPr>
    </w:p>
    <w:p>
      <w:pPr>
        <w:rPr>
          <w:rFonts w:ascii="仿宋" w:hAnsi="仿宋" w:eastAsia="仿宋"/>
        </w:rPr>
      </w:pPr>
      <w:r>
        <w:rPr>
          <w:rFonts w:hint="eastAsia" w:ascii="仿宋" w:hAnsi="仿宋" w:eastAsia="仿宋"/>
        </w:rPr>
        <w:t>1.2基金产品说明</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投资目标</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投资策略</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业绩比较基准（如有）</w:t>
            </w:r>
          </w:p>
        </w:tc>
        <w:tc>
          <w:tcPr>
            <w:tcW w:w="426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rPr>
            </w:pPr>
            <w:r>
              <w:rPr>
                <w:rFonts w:hint="eastAsia" w:ascii="仿宋" w:hAnsi="仿宋" w:eastAsia="仿宋"/>
              </w:rPr>
              <w:t>风险收益特征</w:t>
            </w:r>
          </w:p>
        </w:tc>
        <w:tc>
          <w:tcPr>
            <w:tcW w:w="4261" w:type="dxa"/>
          </w:tcPr>
          <w:p>
            <w:pPr>
              <w:rPr>
                <w:rFonts w:ascii="仿宋" w:hAnsi="仿宋" w:eastAsia="仿宋"/>
              </w:rPr>
            </w:pPr>
          </w:p>
        </w:tc>
      </w:tr>
    </w:tbl>
    <w:p>
      <w:pPr>
        <w:rPr>
          <w:rFonts w:ascii="仿宋" w:hAnsi="仿宋" w:eastAsia="仿宋"/>
        </w:rPr>
      </w:pPr>
    </w:p>
    <w:p>
      <w:pPr>
        <w:rPr>
          <w:rFonts w:ascii="仿宋" w:hAnsi="仿宋" w:eastAsia="仿宋"/>
        </w:rPr>
      </w:pPr>
      <w:r>
        <w:rPr>
          <w:rFonts w:hint="eastAsia" w:ascii="仿宋" w:hAnsi="仿宋" w:eastAsia="仿宋"/>
        </w:rPr>
        <w:t>1.3基金管理人和基金托管人</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3144"/>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b/>
              </w:rPr>
            </w:pPr>
            <w:r>
              <w:rPr>
                <w:rFonts w:hint="eastAsia" w:ascii="仿宋" w:hAnsi="仿宋" w:eastAsia="仿宋"/>
                <w:b/>
              </w:rPr>
              <w:t>项目</w:t>
            </w:r>
          </w:p>
        </w:tc>
        <w:tc>
          <w:tcPr>
            <w:tcW w:w="3144" w:type="dxa"/>
          </w:tcPr>
          <w:p>
            <w:pPr>
              <w:rPr>
                <w:rFonts w:ascii="仿宋" w:hAnsi="仿宋" w:eastAsia="仿宋"/>
                <w:b/>
              </w:rPr>
            </w:pPr>
            <w:r>
              <w:rPr>
                <w:rFonts w:hint="eastAsia" w:ascii="仿宋" w:hAnsi="仿宋" w:eastAsia="仿宋"/>
                <w:b/>
              </w:rPr>
              <w:t>基金管理人</w:t>
            </w:r>
          </w:p>
        </w:tc>
        <w:tc>
          <w:tcPr>
            <w:tcW w:w="3255" w:type="dxa"/>
          </w:tcPr>
          <w:p>
            <w:pPr>
              <w:rPr>
                <w:rFonts w:ascii="仿宋" w:hAnsi="仿宋" w:eastAsia="仿宋"/>
                <w:b/>
              </w:rPr>
            </w:pPr>
            <w:r>
              <w:rPr>
                <w:rFonts w:hint="eastAsia" w:ascii="仿宋" w:hAnsi="仿宋" w:eastAsia="仿宋"/>
                <w:b/>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rPr>
            </w:pPr>
            <w:r>
              <w:rPr>
                <w:rFonts w:hint="eastAsia" w:ascii="仿宋" w:hAnsi="仿宋" w:eastAsia="仿宋"/>
              </w:rPr>
              <w:t>名称</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restart"/>
          </w:tcPr>
          <w:p>
            <w:pPr>
              <w:rPr>
                <w:rFonts w:ascii="仿宋" w:hAnsi="仿宋" w:eastAsia="仿宋"/>
              </w:rPr>
            </w:pPr>
            <w:r>
              <w:rPr>
                <w:rFonts w:hint="eastAsia" w:ascii="仿宋" w:hAnsi="仿宋" w:eastAsia="仿宋"/>
              </w:rPr>
              <w:t>信息披露负责人</w:t>
            </w:r>
          </w:p>
        </w:tc>
        <w:tc>
          <w:tcPr>
            <w:tcW w:w="1065" w:type="dxa"/>
          </w:tcPr>
          <w:p>
            <w:pPr>
              <w:rPr>
                <w:rFonts w:ascii="仿宋" w:hAnsi="仿宋" w:eastAsia="仿宋"/>
              </w:rPr>
            </w:pPr>
            <w:r>
              <w:rPr>
                <w:rFonts w:hint="eastAsia" w:ascii="仿宋" w:hAnsi="仿宋" w:eastAsia="仿宋"/>
              </w:rPr>
              <w:t>姓名</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Pr>
          <w:p>
            <w:pPr>
              <w:rPr>
                <w:rFonts w:ascii="仿宋" w:hAnsi="仿宋" w:eastAsia="仿宋"/>
              </w:rPr>
            </w:pPr>
          </w:p>
        </w:tc>
        <w:tc>
          <w:tcPr>
            <w:tcW w:w="1065" w:type="dxa"/>
          </w:tcPr>
          <w:p>
            <w:pPr>
              <w:rPr>
                <w:rFonts w:ascii="仿宋" w:hAnsi="仿宋" w:eastAsia="仿宋"/>
              </w:rPr>
            </w:pPr>
            <w:r>
              <w:rPr>
                <w:rFonts w:hint="eastAsia" w:ascii="仿宋" w:hAnsi="仿宋" w:eastAsia="仿宋"/>
              </w:rPr>
              <w:t>联系电话</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Merge w:val="continue"/>
          </w:tcPr>
          <w:p>
            <w:pPr>
              <w:rPr>
                <w:rFonts w:ascii="仿宋" w:hAnsi="仿宋" w:eastAsia="仿宋"/>
              </w:rPr>
            </w:pPr>
          </w:p>
        </w:tc>
        <w:tc>
          <w:tcPr>
            <w:tcW w:w="1065" w:type="dxa"/>
          </w:tcPr>
          <w:p>
            <w:pPr>
              <w:rPr>
                <w:rFonts w:ascii="仿宋" w:hAnsi="仿宋" w:eastAsia="仿宋"/>
              </w:rPr>
            </w:pPr>
            <w:r>
              <w:rPr>
                <w:rFonts w:hint="eastAsia" w:ascii="仿宋" w:hAnsi="仿宋" w:eastAsia="仿宋"/>
              </w:rPr>
              <w:t>电子邮箱</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rPr>
            </w:pPr>
            <w:r>
              <w:rPr>
                <w:rFonts w:hint="eastAsia" w:ascii="仿宋" w:hAnsi="仿宋" w:eastAsia="仿宋"/>
              </w:rPr>
              <w:t>传真</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rPr>
            </w:pPr>
            <w:r>
              <w:rPr>
                <w:rFonts w:hint="eastAsia" w:ascii="仿宋" w:hAnsi="仿宋" w:eastAsia="仿宋"/>
              </w:rPr>
              <w:t>注册地址</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rPr>
            </w:pPr>
            <w:r>
              <w:rPr>
                <w:rFonts w:hint="eastAsia" w:ascii="仿宋" w:hAnsi="仿宋" w:eastAsia="仿宋"/>
              </w:rPr>
              <w:t>办公地址</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rPr>
            </w:pPr>
            <w:r>
              <w:rPr>
                <w:rFonts w:hint="eastAsia" w:ascii="仿宋" w:hAnsi="仿宋" w:eastAsia="仿宋"/>
              </w:rPr>
              <w:t>邮政编码</w:t>
            </w:r>
          </w:p>
        </w:tc>
        <w:tc>
          <w:tcPr>
            <w:tcW w:w="3144" w:type="dxa"/>
          </w:tcPr>
          <w:p>
            <w:pPr>
              <w:rPr>
                <w:rFonts w:ascii="仿宋" w:hAnsi="仿宋" w:eastAsia="仿宋"/>
              </w:rPr>
            </w:pPr>
          </w:p>
        </w:tc>
        <w:tc>
          <w:tcPr>
            <w:tcW w:w="325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rPr>
                <w:rFonts w:ascii="仿宋" w:hAnsi="仿宋" w:eastAsia="仿宋"/>
              </w:rPr>
            </w:pPr>
            <w:r>
              <w:rPr>
                <w:rFonts w:hint="eastAsia" w:ascii="仿宋" w:hAnsi="仿宋" w:eastAsia="仿宋"/>
              </w:rPr>
              <w:t>法定代表人</w:t>
            </w:r>
          </w:p>
        </w:tc>
        <w:tc>
          <w:tcPr>
            <w:tcW w:w="3144" w:type="dxa"/>
          </w:tcPr>
          <w:p>
            <w:pPr>
              <w:rPr>
                <w:rFonts w:ascii="仿宋" w:hAnsi="仿宋" w:eastAsia="仿宋"/>
              </w:rPr>
            </w:pPr>
          </w:p>
        </w:tc>
        <w:tc>
          <w:tcPr>
            <w:tcW w:w="3255" w:type="dxa"/>
          </w:tcPr>
          <w:p>
            <w:pPr>
              <w:rPr>
                <w:rFonts w:ascii="仿宋" w:hAnsi="仿宋" w:eastAsia="仿宋"/>
              </w:rPr>
            </w:pPr>
          </w:p>
        </w:tc>
      </w:tr>
    </w:tbl>
    <w:p>
      <w:pPr>
        <w:rPr>
          <w:rFonts w:ascii="仿宋" w:hAnsi="仿宋" w:eastAsia="仿宋"/>
        </w:rPr>
      </w:pPr>
    </w:p>
    <w:p>
      <w:pPr>
        <w:rPr>
          <w:rFonts w:ascii="仿宋" w:hAnsi="仿宋" w:eastAsia="仿宋"/>
        </w:rPr>
      </w:pPr>
      <w:r>
        <w:rPr>
          <w:rFonts w:hint="eastAsia" w:ascii="仿宋" w:hAnsi="仿宋" w:eastAsia="仿宋"/>
        </w:rPr>
        <w:t>1.4其他相关资料</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 w:hAnsi="仿宋" w:eastAsia="仿宋"/>
                <w:b/>
              </w:rPr>
            </w:pPr>
            <w:r>
              <w:rPr>
                <w:rFonts w:hint="eastAsia" w:ascii="仿宋" w:hAnsi="仿宋" w:eastAsia="仿宋"/>
                <w:b/>
              </w:rPr>
              <w:t>项目</w:t>
            </w:r>
          </w:p>
        </w:tc>
        <w:tc>
          <w:tcPr>
            <w:tcW w:w="2841" w:type="dxa"/>
          </w:tcPr>
          <w:p>
            <w:pPr>
              <w:rPr>
                <w:rFonts w:ascii="仿宋" w:hAnsi="仿宋" w:eastAsia="仿宋"/>
                <w:b/>
              </w:rPr>
            </w:pPr>
            <w:r>
              <w:rPr>
                <w:rFonts w:hint="eastAsia" w:ascii="仿宋" w:hAnsi="仿宋" w:eastAsia="仿宋"/>
                <w:b/>
              </w:rPr>
              <w:t>名称</w:t>
            </w:r>
          </w:p>
        </w:tc>
        <w:tc>
          <w:tcPr>
            <w:tcW w:w="2841" w:type="dxa"/>
          </w:tcPr>
          <w:p>
            <w:pPr>
              <w:rPr>
                <w:rFonts w:ascii="仿宋" w:hAnsi="仿宋" w:eastAsia="仿宋"/>
                <w:b/>
              </w:rPr>
            </w:pPr>
            <w:r>
              <w:rPr>
                <w:rFonts w:hint="eastAsia" w:ascii="仿宋" w:hAnsi="仿宋" w:eastAsia="仿宋"/>
                <w:b/>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rPr>
                <w:rFonts w:ascii="仿宋" w:hAnsi="仿宋" w:eastAsia="仿宋"/>
              </w:rPr>
            </w:pPr>
            <w:r>
              <w:rPr>
                <w:rFonts w:hint="eastAsia" w:ascii="仿宋" w:hAnsi="仿宋" w:eastAsia="仿宋"/>
              </w:rPr>
              <w:t>会计师事务所</w:t>
            </w:r>
          </w:p>
        </w:tc>
        <w:tc>
          <w:tcPr>
            <w:tcW w:w="2841" w:type="dxa"/>
          </w:tcPr>
          <w:p>
            <w:pPr>
              <w:rPr>
                <w:rFonts w:ascii="仿宋" w:hAnsi="仿宋" w:eastAsia="仿宋"/>
              </w:rPr>
            </w:pPr>
          </w:p>
        </w:tc>
        <w:tc>
          <w:tcPr>
            <w:tcW w:w="284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 w:hAnsi="仿宋" w:eastAsia="仿宋"/>
              </w:rPr>
            </w:pPr>
            <w:r>
              <w:rPr>
                <w:rFonts w:hint="eastAsia" w:ascii="仿宋" w:hAnsi="仿宋" w:eastAsia="仿宋"/>
              </w:rPr>
              <w:t>注册登记机构</w:t>
            </w:r>
          </w:p>
        </w:tc>
        <w:tc>
          <w:tcPr>
            <w:tcW w:w="2841" w:type="dxa"/>
          </w:tcPr>
          <w:p>
            <w:pPr>
              <w:rPr>
                <w:rFonts w:ascii="仿宋" w:hAnsi="仿宋" w:eastAsia="仿宋"/>
              </w:rPr>
            </w:pPr>
          </w:p>
        </w:tc>
        <w:tc>
          <w:tcPr>
            <w:tcW w:w="284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rPr>
                <w:rFonts w:ascii="仿宋" w:hAnsi="仿宋" w:eastAsia="仿宋"/>
              </w:rPr>
            </w:pPr>
            <w:r>
              <w:rPr>
                <w:rFonts w:hint="eastAsia" w:ascii="仿宋" w:hAnsi="仿宋" w:eastAsia="仿宋"/>
              </w:rPr>
              <w:t>外包机构</w:t>
            </w:r>
          </w:p>
        </w:tc>
        <w:tc>
          <w:tcPr>
            <w:tcW w:w="2841" w:type="dxa"/>
          </w:tcPr>
          <w:p>
            <w:pPr>
              <w:rPr>
                <w:rFonts w:ascii="仿宋" w:hAnsi="仿宋" w:eastAsia="仿宋"/>
              </w:rPr>
            </w:pPr>
          </w:p>
        </w:tc>
        <w:tc>
          <w:tcPr>
            <w:tcW w:w="2841"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仿宋" w:hAnsi="仿宋" w:eastAsia="仿宋"/>
              </w:rPr>
            </w:pPr>
            <w:r>
              <w:rPr>
                <w:rFonts w:hint="eastAsia" w:ascii="仿宋" w:hAnsi="仿宋" w:eastAsia="仿宋"/>
              </w:rPr>
              <w:t>……</w:t>
            </w:r>
          </w:p>
        </w:tc>
        <w:tc>
          <w:tcPr>
            <w:tcW w:w="2841" w:type="dxa"/>
          </w:tcPr>
          <w:p>
            <w:pPr>
              <w:rPr>
                <w:rFonts w:ascii="仿宋" w:hAnsi="仿宋" w:eastAsia="仿宋"/>
              </w:rPr>
            </w:pPr>
          </w:p>
        </w:tc>
        <w:tc>
          <w:tcPr>
            <w:tcW w:w="2841" w:type="dxa"/>
          </w:tcPr>
          <w:p>
            <w:pPr>
              <w:rPr>
                <w:rFonts w:ascii="仿宋" w:hAnsi="仿宋" w:eastAsia="仿宋"/>
              </w:rPr>
            </w:pPr>
          </w:p>
        </w:tc>
      </w:tr>
    </w:tbl>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r>
        <w:rPr>
          <w:rFonts w:hint="eastAsia" w:ascii="仿宋" w:hAnsi="仿宋" w:eastAsia="仿宋"/>
          <w:b/>
        </w:rPr>
        <w:t>2、主要财务指标、基金净值表现及利润分配情况</w:t>
      </w:r>
    </w:p>
    <w:p>
      <w:pPr>
        <w:rPr>
          <w:rFonts w:ascii="仿宋" w:hAnsi="仿宋" w:eastAsia="仿宋"/>
        </w:rPr>
      </w:pPr>
    </w:p>
    <w:p>
      <w:pPr>
        <w:rPr>
          <w:rFonts w:ascii="仿宋" w:hAnsi="仿宋" w:eastAsia="仿宋"/>
        </w:rPr>
      </w:pPr>
      <w:r>
        <w:rPr>
          <w:rFonts w:hint="eastAsia" w:ascii="仿宋" w:hAnsi="仿宋" w:eastAsia="仿宋"/>
        </w:rPr>
        <w:t>2.1主要会计数据和财务指标</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135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期间数据和指标</w:t>
            </w:r>
          </w:p>
        </w:tc>
        <w:tc>
          <w:tcPr>
            <w:tcW w:w="1356" w:type="dxa"/>
            <w:vAlign w:val="center"/>
          </w:tcPr>
          <w:p>
            <w:pPr>
              <w:jc w:val="center"/>
              <w:rPr>
                <w:rFonts w:ascii="仿宋" w:hAnsi="仿宋" w:eastAsia="仿宋"/>
              </w:rPr>
            </w:pPr>
            <w:r>
              <w:rPr>
                <w:rFonts w:hint="eastAsia" w:ascii="仿宋" w:hAnsi="仿宋" w:eastAsia="仿宋"/>
              </w:rPr>
              <w:t>2015年</w:t>
            </w:r>
          </w:p>
        </w:tc>
        <w:tc>
          <w:tcPr>
            <w:tcW w:w="2131" w:type="dxa"/>
            <w:vAlign w:val="center"/>
          </w:tcPr>
          <w:p>
            <w:pPr>
              <w:jc w:val="center"/>
              <w:rPr>
                <w:rFonts w:ascii="仿宋" w:hAnsi="仿宋" w:eastAsia="仿宋"/>
              </w:rPr>
            </w:pPr>
            <w:r>
              <w:rPr>
                <w:rFonts w:hint="eastAsia" w:ascii="仿宋" w:hAnsi="仿宋" w:eastAsia="仿宋"/>
              </w:rPr>
              <w:t>2014年</w:t>
            </w:r>
          </w:p>
        </w:tc>
        <w:tc>
          <w:tcPr>
            <w:tcW w:w="2131" w:type="dxa"/>
            <w:vAlign w:val="center"/>
          </w:tcPr>
          <w:p>
            <w:pPr>
              <w:jc w:val="center"/>
              <w:rPr>
                <w:rFonts w:ascii="仿宋" w:hAnsi="仿宋" w:eastAsia="仿宋"/>
              </w:rPr>
            </w:pPr>
            <w:r>
              <w:rPr>
                <w:rFonts w:hint="eastAsia" w:ascii="仿宋" w:hAnsi="仿宋" w:eastAsia="仿宋"/>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本期已实现收益</w:t>
            </w:r>
          </w:p>
        </w:tc>
        <w:tc>
          <w:tcPr>
            <w:tcW w:w="1356"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本期利润</w:t>
            </w:r>
          </w:p>
        </w:tc>
        <w:tc>
          <w:tcPr>
            <w:tcW w:w="1356"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期末数据和指标</w:t>
            </w:r>
          </w:p>
        </w:tc>
        <w:tc>
          <w:tcPr>
            <w:tcW w:w="1356" w:type="dxa"/>
            <w:vAlign w:val="center"/>
          </w:tcPr>
          <w:p>
            <w:pPr>
              <w:jc w:val="center"/>
              <w:rPr>
                <w:rFonts w:ascii="仿宋" w:hAnsi="仿宋" w:eastAsia="仿宋"/>
              </w:rPr>
            </w:pPr>
            <w:r>
              <w:rPr>
                <w:rFonts w:hint="eastAsia" w:ascii="仿宋" w:hAnsi="仿宋" w:eastAsia="仿宋"/>
              </w:rPr>
              <w:t>2015年末</w:t>
            </w:r>
          </w:p>
        </w:tc>
        <w:tc>
          <w:tcPr>
            <w:tcW w:w="2131" w:type="dxa"/>
            <w:vAlign w:val="center"/>
          </w:tcPr>
          <w:p>
            <w:pPr>
              <w:jc w:val="center"/>
              <w:rPr>
                <w:rFonts w:ascii="仿宋" w:hAnsi="仿宋" w:eastAsia="仿宋"/>
              </w:rPr>
            </w:pPr>
            <w:r>
              <w:rPr>
                <w:rFonts w:hint="eastAsia" w:ascii="仿宋" w:hAnsi="仿宋" w:eastAsia="仿宋"/>
              </w:rPr>
              <w:t>2014年末</w:t>
            </w:r>
          </w:p>
        </w:tc>
        <w:tc>
          <w:tcPr>
            <w:tcW w:w="2131" w:type="dxa"/>
            <w:vAlign w:val="center"/>
          </w:tcPr>
          <w:p>
            <w:pPr>
              <w:jc w:val="center"/>
              <w:rPr>
                <w:rFonts w:ascii="仿宋" w:hAnsi="仿宋" w:eastAsia="仿宋"/>
              </w:rPr>
            </w:pPr>
            <w:r>
              <w:rPr>
                <w:rFonts w:hint="eastAsia" w:ascii="仿宋" w:hAnsi="仿宋" w:eastAsia="仿宋"/>
              </w:rPr>
              <w:t>2013年末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期末可供分配利润</w:t>
            </w:r>
          </w:p>
        </w:tc>
        <w:tc>
          <w:tcPr>
            <w:tcW w:w="1356"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期末可供分配基金份额利润</w:t>
            </w:r>
          </w:p>
        </w:tc>
        <w:tc>
          <w:tcPr>
            <w:tcW w:w="1356"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期末基金资产净值</w:t>
            </w:r>
          </w:p>
        </w:tc>
        <w:tc>
          <w:tcPr>
            <w:tcW w:w="1356"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期末基金份额净值</w:t>
            </w:r>
          </w:p>
        </w:tc>
        <w:tc>
          <w:tcPr>
            <w:tcW w:w="1356"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c>
          <w:tcPr>
            <w:tcW w:w="213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累计期末指标</w:t>
            </w:r>
          </w:p>
        </w:tc>
        <w:tc>
          <w:tcPr>
            <w:tcW w:w="1356" w:type="dxa"/>
          </w:tcPr>
          <w:p>
            <w:pPr>
              <w:jc w:val="center"/>
              <w:rPr>
                <w:rFonts w:ascii="仿宋" w:hAnsi="仿宋" w:eastAsia="仿宋"/>
              </w:rPr>
            </w:pPr>
            <w:r>
              <w:rPr>
                <w:rFonts w:hint="eastAsia" w:ascii="仿宋" w:hAnsi="仿宋" w:eastAsia="仿宋"/>
              </w:rPr>
              <w:t>2015年末</w:t>
            </w:r>
          </w:p>
        </w:tc>
        <w:tc>
          <w:tcPr>
            <w:tcW w:w="2131" w:type="dxa"/>
          </w:tcPr>
          <w:p>
            <w:pPr>
              <w:jc w:val="center"/>
              <w:rPr>
                <w:rFonts w:ascii="仿宋" w:hAnsi="仿宋" w:eastAsia="仿宋"/>
              </w:rPr>
            </w:pPr>
            <w:r>
              <w:rPr>
                <w:rFonts w:hint="eastAsia" w:ascii="仿宋" w:hAnsi="仿宋" w:eastAsia="仿宋"/>
              </w:rPr>
              <w:t>2014年末</w:t>
            </w:r>
          </w:p>
        </w:tc>
        <w:tc>
          <w:tcPr>
            <w:tcW w:w="2131" w:type="dxa"/>
          </w:tcPr>
          <w:p>
            <w:pPr>
              <w:jc w:val="center"/>
              <w:rPr>
                <w:rFonts w:ascii="仿宋" w:hAnsi="仿宋" w:eastAsia="仿宋"/>
              </w:rPr>
            </w:pPr>
            <w:r>
              <w:rPr>
                <w:rFonts w:hint="eastAsia" w:ascii="仿宋" w:hAnsi="仿宋" w:eastAsia="仿宋"/>
              </w:rPr>
              <w:t>2013年末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4" w:type="dxa"/>
          </w:tcPr>
          <w:p>
            <w:pPr>
              <w:rPr>
                <w:rFonts w:ascii="仿宋" w:hAnsi="仿宋" w:eastAsia="仿宋"/>
              </w:rPr>
            </w:pPr>
            <w:r>
              <w:rPr>
                <w:rFonts w:hint="eastAsia" w:ascii="仿宋" w:hAnsi="仿宋" w:eastAsia="仿宋"/>
              </w:rPr>
              <w:t>基金份额累计净值增长率</w:t>
            </w:r>
          </w:p>
        </w:tc>
        <w:tc>
          <w:tcPr>
            <w:tcW w:w="1356" w:type="dxa"/>
          </w:tcPr>
          <w:p>
            <w:pPr>
              <w:rPr>
                <w:rFonts w:ascii="仿宋" w:hAnsi="仿宋" w:eastAsia="仿宋"/>
              </w:rPr>
            </w:pPr>
          </w:p>
        </w:tc>
        <w:tc>
          <w:tcPr>
            <w:tcW w:w="2131" w:type="dxa"/>
          </w:tcPr>
          <w:p>
            <w:pPr>
              <w:rPr>
                <w:rFonts w:ascii="仿宋" w:hAnsi="仿宋" w:eastAsia="仿宋"/>
              </w:rPr>
            </w:pPr>
          </w:p>
        </w:tc>
        <w:tc>
          <w:tcPr>
            <w:tcW w:w="2131" w:type="dxa"/>
          </w:tcPr>
          <w:p>
            <w:pPr>
              <w:rPr>
                <w:rFonts w:ascii="仿宋" w:hAnsi="仿宋" w:eastAsia="仿宋"/>
              </w:rPr>
            </w:pPr>
          </w:p>
        </w:tc>
      </w:tr>
    </w:tbl>
    <w:p>
      <w:pPr>
        <w:rPr>
          <w:rFonts w:ascii="仿宋" w:hAnsi="仿宋" w:eastAsia="仿宋"/>
        </w:rPr>
      </w:pPr>
    </w:p>
    <w:p>
      <w:pPr>
        <w:rPr>
          <w:rFonts w:ascii="仿宋" w:hAnsi="仿宋" w:eastAsia="仿宋"/>
        </w:rPr>
      </w:pPr>
      <w:r>
        <w:rPr>
          <w:rFonts w:hint="eastAsia" w:ascii="仿宋" w:hAnsi="仿宋" w:eastAsia="仿宋"/>
        </w:rPr>
        <w:t>2.2基金净值表现</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jc w:val="center"/>
              <w:rPr>
                <w:rFonts w:ascii="仿宋" w:hAnsi="仿宋" w:eastAsia="仿宋"/>
                <w:b/>
              </w:rPr>
            </w:pPr>
            <w:r>
              <w:rPr>
                <w:rFonts w:hint="eastAsia" w:ascii="仿宋" w:hAnsi="仿宋" w:eastAsia="仿宋"/>
                <w:b/>
              </w:rPr>
              <w:t>阶段</w:t>
            </w:r>
          </w:p>
        </w:tc>
        <w:tc>
          <w:tcPr>
            <w:tcW w:w="1295" w:type="dxa"/>
            <w:vAlign w:val="center"/>
          </w:tcPr>
          <w:p>
            <w:pPr>
              <w:jc w:val="center"/>
              <w:rPr>
                <w:rFonts w:ascii="仿宋" w:hAnsi="仿宋" w:eastAsia="仿宋"/>
                <w:b/>
              </w:rPr>
            </w:pPr>
            <w:r>
              <w:rPr>
                <w:rFonts w:hint="eastAsia" w:ascii="仿宋" w:hAnsi="仿宋" w:eastAsia="仿宋"/>
                <w:b/>
              </w:rPr>
              <w:t>净值增长率</w:t>
            </w:r>
          </w:p>
        </w:tc>
        <w:tc>
          <w:tcPr>
            <w:tcW w:w="1986" w:type="dxa"/>
            <w:vAlign w:val="center"/>
          </w:tcPr>
          <w:p>
            <w:pPr>
              <w:jc w:val="center"/>
              <w:rPr>
                <w:rFonts w:ascii="仿宋" w:hAnsi="仿宋" w:eastAsia="仿宋"/>
                <w:b/>
              </w:rPr>
            </w:pPr>
            <w:r>
              <w:rPr>
                <w:rFonts w:hint="eastAsia" w:ascii="仿宋" w:hAnsi="仿宋" w:eastAsia="仿宋"/>
                <w:b/>
              </w:rPr>
              <w:t>净值增长率标准差（选填）</w:t>
            </w:r>
          </w:p>
        </w:tc>
        <w:tc>
          <w:tcPr>
            <w:tcW w:w="1841" w:type="dxa"/>
            <w:vAlign w:val="center"/>
          </w:tcPr>
          <w:p>
            <w:pPr>
              <w:jc w:val="center"/>
              <w:rPr>
                <w:rFonts w:ascii="仿宋" w:hAnsi="仿宋" w:eastAsia="仿宋"/>
                <w:b/>
              </w:rPr>
            </w:pPr>
            <w:r>
              <w:rPr>
                <w:rFonts w:hint="eastAsia" w:ascii="仿宋" w:hAnsi="仿宋" w:eastAsia="仿宋"/>
                <w:b/>
              </w:rPr>
              <w:t>业绩比较基准收益率（选填）</w:t>
            </w:r>
          </w:p>
        </w:tc>
        <w:tc>
          <w:tcPr>
            <w:tcW w:w="2035" w:type="dxa"/>
          </w:tcPr>
          <w:p>
            <w:pPr>
              <w:jc w:val="center"/>
              <w:rPr>
                <w:rFonts w:ascii="仿宋" w:hAnsi="仿宋" w:eastAsia="仿宋"/>
                <w:b/>
              </w:rPr>
            </w:pPr>
            <w:r>
              <w:rPr>
                <w:rFonts w:hint="eastAsia" w:ascii="仿宋" w:hAnsi="仿宋" w:eastAsia="仿宋"/>
                <w:b/>
              </w:rPr>
              <w:t>业绩比较基准收益率标准差（选填）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jc w:val="center"/>
              <w:rPr>
                <w:rFonts w:ascii="仿宋" w:hAnsi="仿宋" w:eastAsia="仿宋"/>
              </w:rPr>
            </w:pPr>
            <w:r>
              <w:rPr>
                <w:rFonts w:hint="eastAsia" w:ascii="仿宋" w:hAnsi="仿宋" w:eastAsia="仿宋"/>
              </w:rPr>
              <w:t>当年</w:t>
            </w:r>
          </w:p>
        </w:tc>
        <w:tc>
          <w:tcPr>
            <w:tcW w:w="1295" w:type="dxa"/>
            <w:vAlign w:val="center"/>
          </w:tcPr>
          <w:p>
            <w:pPr>
              <w:jc w:val="center"/>
              <w:rPr>
                <w:rFonts w:ascii="仿宋" w:hAnsi="仿宋" w:eastAsia="仿宋"/>
              </w:rPr>
            </w:pPr>
          </w:p>
        </w:tc>
        <w:tc>
          <w:tcPr>
            <w:tcW w:w="1986" w:type="dxa"/>
            <w:vAlign w:val="center"/>
          </w:tcPr>
          <w:p>
            <w:pPr>
              <w:jc w:val="center"/>
              <w:rPr>
                <w:rFonts w:ascii="仿宋" w:hAnsi="仿宋" w:eastAsia="仿宋"/>
              </w:rPr>
            </w:pPr>
          </w:p>
        </w:tc>
        <w:tc>
          <w:tcPr>
            <w:tcW w:w="1841" w:type="dxa"/>
          </w:tcPr>
          <w:p>
            <w:pPr>
              <w:jc w:val="center"/>
              <w:rPr>
                <w:rFonts w:ascii="仿宋" w:hAnsi="仿宋" w:eastAsia="仿宋"/>
              </w:rPr>
            </w:pPr>
          </w:p>
        </w:tc>
        <w:tc>
          <w:tcPr>
            <w:tcW w:w="2035"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jc w:val="center"/>
              <w:rPr>
                <w:rFonts w:ascii="仿宋" w:hAnsi="仿宋" w:eastAsia="仿宋"/>
              </w:rPr>
            </w:pPr>
            <w:r>
              <w:rPr>
                <w:rFonts w:hint="eastAsia" w:ascii="仿宋" w:hAnsi="仿宋" w:eastAsia="仿宋"/>
              </w:rPr>
              <w:t>自基金合同生效起至今</w:t>
            </w:r>
          </w:p>
        </w:tc>
        <w:tc>
          <w:tcPr>
            <w:tcW w:w="1295" w:type="dxa"/>
            <w:vAlign w:val="center"/>
          </w:tcPr>
          <w:p>
            <w:pPr>
              <w:jc w:val="center"/>
              <w:rPr>
                <w:rFonts w:ascii="仿宋" w:hAnsi="仿宋" w:eastAsia="仿宋"/>
              </w:rPr>
            </w:pPr>
          </w:p>
        </w:tc>
        <w:tc>
          <w:tcPr>
            <w:tcW w:w="1986" w:type="dxa"/>
            <w:vAlign w:val="center"/>
          </w:tcPr>
          <w:p>
            <w:pPr>
              <w:jc w:val="center"/>
              <w:rPr>
                <w:rFonts w:ascii="仿宋" w:hAnsi="仿宋" w:eastAsia="仿宋"/>
              </w:rPr>
            </w:pPr>
          </w:p>
        </w:tc>
        <w:tc>
          <w:tcPr>
            <w:tcW w:w="1841" w:type="dxa"/>
          </w:tcPr>
          <w:p>
            <w:pPr>
              <w:jc w:val="center"/>
              <w:rPr>
                <w:rFonts w:ascii="仿宋" w:hAnsi="仿宋" w:eastAsia="仿宋"/>
              </w:rPr>
            </w:pPr>
          </w:p>
        </w:tc>
        <w:tc>
          <w:tcPr>
            <w:tcW w:w="2035" w:type="dxa"/>
          </w:tcPr>
          <w:p>
            <w:pPr>
              <w:jc w:val="center"/>
              <w:rPr>
                <w:rFonts w:ascii="仿宋" w:hAnsi="仿宋" w:eastAsia="仿宋"/>
              </w:rPr>
            </w:pPr>
          </w:p>
        </w:tc>
      </w:tr>
    </w:tbl>
    <w:p>
      <w:pPr>
        <w:rPr>
          <w:rFonts w:ascii="仿宋" w:hAnsi="仿宋" w:eastAsia="仿宋"/>
        </w:rPr>
      </w:pPr>
      <w:r>
        <w:rPr>
          <w:rFonts w:hint="eastAsia" w:ascii="仿宋" w:hAnsi="仿宋" w:eastAsia="仿宋"/>
        </w:rPr>
        <w:t>注：净值增长率=（期末累计净值-期初累计净值）/期初累计净值</w:t>
      </w:r>
    </w:p>
    <w:p>
      <w:pPr>
        <w:ind w:firstLine="420" w:firstLineChars="200"/>
        <w:rPr>
          <w:rFonts w:ascii="仿宋" w:hAnsi="仿宋" w:eastAsia="仿宋"/>
        </w:rPr>
      </w:pPr>
      <w:r>
        <w:rPr>
          <w:rFonts w:hint="eastAsia" w:ascii="仿宋" w:hAnsi="仿宋" w:eastAsia="仿宋"/>
        </w:rPr>
        <w:t>当年净值增长率=（本年度末累计净值-上年度末累计净值）/上年度末累计净值</w:t>
      </w:r>
    </w:p>
    <w:p>
      <w:pPr>
        <w:rPr>
          <w:rFonts w:ascii="仿宋" w:hAnsi="仿宋" w:eastAsia="仿宋"/>
        </w:rPr>
      </w:pPr>
    </w:p>
    <w:p>
      <w:pPr>
        <w:rPr>
          <w:rFonts w:ascii="仿宋" w:hAnsi="仿宋" w:eastAsia="仿宋"/>
        </w:rPr>
      </w:pPr>
      <w:r>
        <w:rPr>
          <w:rFonts w:hint="eastAsia" w:ascii="仿宋" w:hAnsi="仿宋" w:eastAsia="仿宋"/>
        </w:rPr>
        <w:t>2.3过去三年基金的利润分配情况</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25"/>
        <w:gridCol w:w="1561"/>
        <w:gridCol w:w="1737"/>
        <w:gridCol w:w="138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vAlign w:val="center"/>
          </w:tcPr>
          <w:p>
            <w:pPr>
              <w:jc w:val="center"/>
              <w:rPr>
                <w:rFonts w:ascii="仿宋" w:hAnsi="仿宋" w:eastAsia="仿宋"/>
                <w:b/>
              </w:rPr>
            </w:pPr>
            <w:r>
              <w:rPr>
                <w:rFonts w:hint="eastAsia" w:ascii="仿宋" w:hAnsi="仿宋" w:eastAsia="仿宋"/>
                <w:b/>
              </w:rPr>
              <w:t>年度</w:t>
            </w:r>
          </w:p>
        </w:tc>
        <w:tc>
          <w:tcPr>
            <w:tcW w:w="2125" w:type="dxa"/>
            <w:vAlign w:val="center"/>
          </w:tcPr>
          <w:p>
            <w:pPr>
              <w:jc w:val="center"/>
              <w:rPr>
                <w:rFonts w:ascii="仿宋" w:hAnsi="仿宋" w:eastAsia="仿宋"/>
                <w:b/>
              </w:rPr>
            </w:pPr>
            <w:r>
              <w:rPr>
                <w:rFonts w:hint="eastAsia" w:ascii="仿宋" w:hAnsi="仿宋" w:eastAsia="仿宋"/>
                <w:b/>
              </w:rPr>
              <w:t>每份基金份额分红数</w:t>
            </w:r>
          </w:p>
        </w:tc>
        <w:tc>
          <w:tcPr>
            <w:tcW w:w="1561" w:type="dxa"/>
            <w:vAlign w:val="center"/>
          </w:tcPr>
          <w:p>
            <w:pPr>
              <w:jc w:val="center"/>
              <w:rPr>
                <w:rFonts w:ascii="仿宋" w:hAnsi="仿宋" w:eastAsia="仿宋"/>
                <w:b/>
              </w:rPr>
            </w:pPr>
            <w:r>
              <w:rPr>
                <w:rFonts w:hint="eastAsia" w:ascii="仿宋" w:hAnsi="仿宋" w:eastAsia="仿宋"/>
                <w:b/>
              </w:rPr>
              <w:t>现金形式发放总额</w:t>
            </w:r>
          </w:p>
        </w:tc>
        <w:tc>
          <w:tcPr>
            <w:tcW w:w="1737" w:type="dxa"/>
            <w:vAlign w:val="center"/>
          </w:tcPr>
          <w:p>
            <w:pPr>
              <w:jc w:val="center"/>
              <w:rPr>
                <w:rFonts w:ascii="仿宋" w:hAnsi="仿宋" w:eastAsia="仿宋"/>
                <w:b/>
              </w:rPr>
            </w:pPr>
            <w:r>
              <w:rPr>
                <w:rFonts w:hint="eastAsia" w:ascii="仿宋" w:hAnsi="仿宋" w:eastAsia="仿宋"/>
                <w:b/>
              </w:rPr>
              <w:t>再投资形式发放总额</w:t>
            </w:r>
          </w:p>
        </w:tc>
        <w:tc>
          <w:tcPr>
            <w:tcW w:w="1381" w:type="dxa"/>
            <w:vAlign w:val="center"/>
          </w:tcPr>
          <w:p>
            <w:pPr>
              <w:jc w:val="center"/>
              <w:rPr>
                <w:rFonts w:ascii="仿宋" w:hAnsi="仿宋" w:eastAsia="仿宋"/>
                <w:b/>
              </w:rPr>
            </w:pPr>
            <w:r>
              <w:rPr>
                <w:rFonts w:hint="eastAsia" w:ascii="仿宋" w:hAnsi="仿宋" w:eastAsia="仿宋"/>
                <w:b/>
              </w:rPr>
              <w:t>年度利润分配合计</w:t>
            </w:r>
          </w:p>
        </w:tc>
        <w:tc>
          <w:tcPr>
            <w:tcW w:w="902" w:type="dxa"/>
            <w:vAlign w:val="center"/>
          </w:tcPr>
          <w:p>
            <w:pPr>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vAlign w:val="center"/>
          </w:tcPr>
          <w:p>
            <w:pPr>
              <w:jc w:val="center"/>
              <w:rPr>
                <w:rFonts w:ascii="仿宋" w:hAnsi="仿宋" w:eastAsia="仿宋"/>
              </w:rPr>
            </w:pPr>
          </w:p>
        </w:tc>
        <w:tc>
          <w:tcPr>
            <w:tcW w:w="2125" w:type="dxa"/>
            <w:vAlign w:val="center"/>
          </w:tcPr>
          <w:p>
            <w:pPr>
              <w:jc w:val="center"/>
              <w:rPr>
                <w:rFonts w:ascii="仿宋" w:hAnsi="仿宋" w:eastAsia="仿宋"/>
              </w:rPr>
            </w:pPr>
          </w:p>
        </w:tc>
        <w:tc>
          <w:tcPr>
            <w:tcW w:w="1561" w:type="dxa"/>
            <w:vAlign w:val="center"/>
          </w:tcPr>
          <w:p>
            <w:pPr>
              <w:jc w:val="center"/>
              <w:rPr>
                <w:rFonts w:ascii="仿宋" w:hAnsi="仿宋" w:eastAsia="仿宋"/>
              </w:rPr>
            </w:pPr>
          </w:p>
        </w:tc>
        <w:tc>
          <w:tcPr>
            <w:tcW w:w="1737" w:type="dxa"/>
            <w:vAlign w:val="center"/>
          </w:tcPr>
          <w:p>
            <w:pPr>
              <w:jc w:val="center"/>
              <w:rPr>
                <w:rFonts w:ascii="仿宋" w:hAnsi="仿宋" w:eastAsia="仿宋"/>
              </w:rPr>
            </w:pPr>
          </w:p>
        </w:tc>
        <w:tc>
          <w:tcPr>
            <w:tcW w:w="1381" w:type="dxa"/>
            <w:vAlign w:val="center"/>
          </w:tcPr>
          <w:p>
            <w:pPr>
              <w:jc w:val="center"/>
              <w:rPr>
                <w:rFonts w:ascii="仿宋" w:hAnsi="仿宋" w:eastAsia="仿宋"/>
              </w:rPr>
            </w:pPr>
          </w:p>
        </w:tc>
        <w:tc>
          <w:tcPr>
            <w:tcW w:w="90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vAlign w:val="center"/>
          </w:tcPr>
          <w:p>
            <w:pPr>
              <w:jc w:val="center"/>
              <w:rPr>
                <w:rFonts w:ascii="仿宋" w:hAnsi="仿宋" w:eastAsia="仿宋"/>
              </w:rPr>
            </w:pPr>
          </w:p>
        </w:tc>
        <w:tc>
          <w:tcPr>
            <w:tcW w:w="2125" w:type="dxa"/>
            <w:vAlign w:val="center"/>
          </w:tcPr>
          <w:p>
            <w:pPr>
              <w:jc w:val="center"/>
              <w:rPr>
                <w:rFonts w:ascii="仿宋" w:hAnsi="仿宋" w:eastAsia="仿宋"/>
              </w:rPr>
            </w:pPr>
          </w:p>
        </w:tc>
        <w:tc>
          <w:tcPr>
            <w:tcW w:w="1561" w:type="dxa"/>
            <w:vAlign w:val="center"/>
          </w:tcPr>
          <w:p>
            <w:pPr>
              <w:jc w:val="center"/>
              <w:rPr>
                <w:rFonts w:ascii="仿宋" w:hAnsi="仿宋" w:eastAsia="仿宋"/>
              </w:rPr>
            </w:pPr>
          </w:p>
        </w:tc>
        <w:tc>
          <w:tcPr>
            <w:tcW w:w="1737" w:type="dxa"/>
            <w:vAlign w:val="center"/>
          </w:tcPr>
          <w:p>
            <w:pPr>
              <w:jc w:val="center"/>
              <w:rPr>
                <w:rFonts w:ascii="仿宋" w:hAnsi="仿宋" w:eastAsia="仿宋"/>
              </w:rPr>
            </w:pPr>
          </w:p>
        </w:tc>
        <w:tc>
          <w:tcPr>
            <w:tcW w:w="1381" w:type="dxa"/>
            <w:vAlign w:val="center"/>
          </w:tcPr>
          <w:p>
            <w:pPr>
              <w:jc w:val="center"/>
              <w:rPr>
                <w:rFonts w:ascii="仿宋" w:hAnsi="仿宋" w:eastAsia="仿宋"/>
              </w:rPr>
            </w:pPr>
          </w:p>
        </w:tc>
        <w:tc>
          <w:tcPr>
            <w:tcW w:w="90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vAlign w:val="center"/>
          </w:tcPr>
          <w:p>
            <w:pPr>
              <w:jc w:val="center"/>
              <w:rPr>
                <w:rFonts w:ascii="仿宋" w:hAnsi="仿宋" w:eastAsia="仿宋"/>
              </w:rPr>
            </w:pPr>
          </w:p>
        </w:tc>
        <w:tc>
          <w:tcPr>
            <w:tcW w:w="2125" w:type="dxa"/>
            <w:vAlign w:val="center"/>
          </w:tcPr>
          <w:p>
            <w:pPr>
              <w:jc w:val="center"/>
              <w:rPr>
                <w:rFonts w:ascii="仿宋" w:hAnsi="仿宋" w:eastAsia="仿宋"/>
              </w:rPr>
            </w:pPr>
          </w:p>
        </w:tc>
        <w:tc>
          <w:tcPr>
            <w:tcW w:w="1561" w:type="dxa"/>
            <w:vAlign w:val="center"/>
          </w:tcPr>
          <w:p>
            <w:pPr>
              <w:jc w:val="center"/>
              <w:rPr>
                <w:rFonts w:ascii="仿宋" w:hAnsi="仿宋" w:eastAsia="仿宋"/>
              </w:rPr>
            </w:pPr>
          </w:p>
        </w:tc>
        <w:tc>
          <w:tcPr>
            <w:tcW w:w="1737" w:type="dxa"/>
            <w:vAlign w:val="center"/>
          </w:tcPr>
          <w:p>
            <w:pPr>
              <w:jc w:val="center"/>
              <w:rPr>
                <w:rFonts w:ascii="仿宋" w:hAnsi="仿宋" w:eastAsia="仿宋"/>
              </w:rPr>
            </w:pPr>
          </w:p>
        </w:tc>
        <w:tc>
          <w:tcPr>
            <w:tcW w:w="1381" w:type="dxa"/>
            <w:vAlign w:val="center"/>
          </w:tcPr>
          <w:p>
            <w:pPr>
              <w:jc w:val="center"/>
              <w:rPr>
                <w:rFonts w:ascii="仿宋" w:hAnsi="仿宋" w:eastAsia="仿宋"/>
              </w:rPr>
            </w:pPr>
          </w:p>
        </w:tc>
        <w:tc>
          <w:tcPr>
            <w:tcW w:w="902" w:type="dxa"/>
            <w:vAlign w:val="center"/>
          </w:tcPr>
          <w:p>
            <w:pPr>
              <w:jc w:val="center"/>
              <w:rPr>
                <w:rFonts w:ascii="仿宋" w:hAnsi="仿宋" w:eastAsia="仿宋"/>
              </w:rPr>
            </w:pPr>
          </w:p>
        </w:tc>
      </w:tr>
    </w:tbl>
    <w:p>
      <w:pPr>
        <w:jc w:val="left"/>
        <w:rPr>
          <w:rFonts w:ascii="仿宋" w:hAnsi="仿宋" w:eastAsia="仿宋"/>
          <w:b/>
        </w:rPr>
      </w:pPr>
    </w:p>
    <w:p>
      <w:pPr>
        <w:jc w:val="left"/>
        <w:rPr>
          <w:rFonts w:ascii="仿宋" w:hAnsi="仿宋" w:eastAsia="仿宋"/>
          <w:b/>
        </w:rPr>
      </w:pPr>
      <w:r>
        <w:rPr>
          <w:rFonts w:hint="eastAsia" w:ascii="仿宋" w:hAnsi="仿宋" w:eastAsia="仿宋"/>
          <w:b/>
        </w:rPr>
        <w:t>3、基金份额变动情况</w:t>
      </w:r>
    </w:p>
    <w:p>
      <w:pPr>
        <w:adjustRightInd w:val="0"/>
        <w:snapToGrid w:val="0"/>
        <w:spacing w:line="360" w:lineRule="exact"/>
        <w:jc w:val="right"/>
        <w:rPr>
          <w:rFonts w:ascii="仿宋" w:hAnsi="仿宋" w:eastAsia="仿宋"/>
          <w:szCs w:val="21"/>
        </w:rPr>
      </w:pPr>
      <w:r>
        <w:rPr>
          <w:rFonts w:hint="eastAsia" w:ascii="仿宋" w:hAnsi="仿宋" w:eastAsia="仿宋"/>
          <w:szCs w:val="21"/>
        </w:rPr>
        <w:t>单位：份</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报告期期初基金份额总额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报告期期间基金总申购份额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减：报告期期间基金总赎回份额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报告期期间基金拆分变动份额（份额减少以“-”填列）</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84" w:type="dxa"/>
            <w:vAlign w:val="center"/>
          </w:tcPr>
          <w:p>
            <w:pPr>
              <w:adjustRightInd w:val="0"/>
              <w:snapToGrid w:val="0"/>
              <w:spacing w:line="360" w:lineRule="exact"/>
              <w:rPr>
                <w:rFonts w:ascii="仿宋" w:hAnsi="仿宋" w:eastAsia="仿宋"/>
                <w:color w:val="000000"/>
                <w:szCs w:val="21"/>
              </w:rPr>
            </w:pPr>
            <w:r>
              <w:rPr>
                <w:rFonts w:hint="eastAsia" w:ascii="仿宋" w:hAnsi="仿宋" w:eastAsia="仿宋"/>
                <w:color w:val="000000"/>
                <w:szCs w:val="21"/>
              </w:rPr>
              <w:t>报告期期末基金份额总额</w:t>
            </w:r>
          </w:p>
        </w:tc>
        <w:tc>
          <w:tcPr>
            <w:tcW w:w="2379" w:type="dxa"/>
            <w:vAlign w:val="center"/>
          </w:tcPr>
          <w:p>
            <w:pPr>
              <w:adjustRightInd w:val="0"/>
              <w:snapToGrid w:val="0"/>
              <w:spacing w:line="360" w:lineRule="exact"/>
              <w:jc w:val="right"/>
              <w:rPr>
                <w:rFonts w:ascii="仿宋" w:hAnsi="仿宋" w:eastAsia="仿宋"/>
                <w:color w:val="0000FF"/>
                <w:kern w:val="0"/>
                <w:szCs w:val="21"/>
              </w:rPr>
            </w:pPr>
          </w:p>
        </w:tc>
      </w:tr>
    </w:tbl>
    <w:p>
      <w:pPr>
        <w:rPr>
          <w:rFonts w:ascii="仿宋" w:hAnsi="仿宋" w:eastAsia="仿宋"/>
          <w:b/>
        </w:rPr>
      </w:pPr>
    </w:p>
    <w:p>
      <w:pPr>
        <w:rPr>
          <w:rFonts w:ascii="仿宋" w:hAnsi="仿宋" w:eastAsia="仿宋"/>
        </w:rPr>
      </w:pPr>
      <w:r>
        <w:rPr>
          <w:rFonts w:hint="eastAsia" w:ascii="仿宋" w:hAnsi="仿宋" w:eastAsia="仿宋"/>
          <w:b/>
        </w:rPr>
        <w:t>4、管理人说明的其他情况</w:t>
      </w:r>
      <w:r>
        <w:rPr>
          <w:rFonts w:hint="eastAsia" w:ascii="仿宋" w:hAnsi="仿宋" w:eastAsia="仿宋"/>
        </w:rPr>
        <w:t>（如报告期内高管、基金经理及其关联基金经验、基金运作遵规守信情况、基金投资策略和业绩表现、对宏观经济、证券市场及其行业走势展望、内部基金监察稽核工作、基金估值程序、基金运作情况和运用杠杆情况、投资收益分配和损失承担情况、会计师事务所出具非标准审计报告所涉相关事项、对本基金持有人数或基金资产净值预警情形、可能存在的利益冲突等）</w:t>
      </w:r>
    </w:p>
    <w:p>
      <w:pPr>
        <w:rPr>
          <w:rFonts w:ascii="仿宋" w:hAnsi="仿宋" w:eastAsia="仿宋"/>
          <w:b/>
        </w:rPr>
      </w:pP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pPr>
              <w:rPr>
                <w:rFonts w:ascii="仿宋" w:hAnsi="仿宋" w:eastAsia="仿宋"/>
                <w:b/>
              </w:rPr>
            </w:pPr>
          </w:p>
          <w:p>
            <w:pPr>
              <w:rPr>
                <w:rFonts w:ascii="仿宋" w:hAnsi="仿宋" w:eastAsia="仿宋"/>
                <w:b/>
              </w:rPr>
            </w:pPr>
          </w:p>
        </w:tc>
      </w:tr>
    </w:tbl>
    <w:p>
      <w:pPr>
        <w:rPr>
          <w:rFonts w:ascii="仿宋" w:hAnsi="仿宋" w:eastAsia="仿宋"/>
          <w:b/>
        </w:rPr>
      </w:pPr>
    </w:p>
    <w:p>
      <w:pPr>
        <w:rPr>
          <w:rFonts w:ascii="仿宋" w:hAnsi="仿宋" w:eastAsia="仿宋"/>
          <w:b/>
        </w:rPr>
      </w:pPr>
      <w:r>
        <w:rPr>
          <w:rFonts w:hint="eastAsia" w:ascii="仿宋" w:hAnsi="仿宋" w:eastAsia="仿宋"/>
          <w:b/>
        </w:rPr>
        <w:t>5、托管人报告</w:t>
      </w:r>
    </w:p>
    <w:p>
      <w:pPr>
        <w:rPr>
          <w:rFonts w:ascii="仿宋" w:hAnsi="仿宋" w:eastAsia="仿宋"/>
        </w:rPr>
      </w:pPr>
      <w:r>
        <w:rPr>
          <w:rFonts w:hint="eastAsia" w:ascii="仿宋" w:hAnsi="仿宋" w:eastAsia="仿宋"/>
        </w:rPr>
        <w:t>5.1报告期内本基金托管人遵规守信情况声明</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pPr>
              <w:rPr>
                <w:rFonts w:ascii="仿宋" w:hAnsi="仿宋" w:eastAsia="仿宋"/>
              </w:rPr>
            </w:pPr>
          </w:p>
          <w:p>
            <w:pPr>
              <w:rPr>
                <w:rFonts w:ascii="仿宋" w:hAnsi="仿宋" w:eastAsia="仿宋"/>
              </w:rPr>
            </w:pPr>
          </w:p>
        </w:tc>
      </w:tr>
    </w:tbl>
    <w:p>
      <w:pPr>
        <w:rPr>
          <w:rFonts w:ascii="仿宋" w:hAnsi="仿宋" w:eastAsia="仿宋"/>
        </w:rPr>
      </w:pPr>
      <w:r>
        <w:rPr>
          <w:rFonts w:hint="eastAsia" w:ascii="仿宋" w:hAnsi="仿宋" w:eastAsia="仿宋"/>
        </w:rPr>
        <w:t>5.2托管人对报告期内本基金投资运作遵规守信、净值计算、利润分配等情况的说明</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pPr>
              <w:rPr>
                <w:rFonts w:ascii="仿宋" w:hAnsi="仿宋" w:eastAsia="仿宋"/>
              </w:rPr>
            </w:pPr>
          </w:p>
          <w:p>
            <w:pPr>
              <w:rPr>
                <w:rFonts w:ascii="仿宋" w:hAnsi="仿宋" w:eastAsia="仿宋"/>
              </w:rPr>
            </w:pPr>
          </w:p>
        </w:tc>
      </w:tr>
    </w:tbl>
    <w:p>
      <w:pPr>
        <w:rPr>
          <w:rFonts w:ascii="仿宋" w:hAnsi="仿宋" w:eastAsia="仿宋"/>
        </w:rPr>
      </w:pPr>
      <w:r>
        <w:rPr>
          <w:rFonts w:hint="eastAsia" w:ascii="仿宋" w:hAnsi="仿宋" w:eastAsia="仿宋"/>
        </w:rPr>
        <w:t>5.3托管人对本年度报告中财务信息等内容的真实、准确和完整发表意见</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pPr>
              <w:rPr>
                <w:rFonts w:ascii="仿宋" w:hAnsi="仿宋" w:eastAsia="仿宋"/>
              </w:rPr>
            </w:pPr>
          </w:p>
          <w:p>
            <w:pPr>
              <w:rPr>
                <w:rFonts w:ascii="仿宋" w:hAnsi="仿宋" w:eastAsia="仿宋"/>
              </w:rPr>
            </w:pPr>
          </w:p>
        </w:tc>
      </w:tr>
    </w:tbl>
    <w:p>
      <w:pPr>
        <w:rPr>
          <w:rFonts w:ascii="仿宋" w:hAnsi="仿宋" w:eastAsia="仿宋"/>
          <w:b/>
        </w:rPr>
      </w:pPr>
    </w:p>
    <w:p>
      <w:pPr>
        <w:rPr>
          <w:rFonts w:ascii="仿宋" w:hAnsi="仿宋" w:eastAsia="仿宋"/>
          <w:b/>
        </w:rPr>
      </w:pPr>
      <w:r>
        <w:rPr>
          <w:rFonts w:hint="eastAsia" w:ascii="仿宋" w:hAnsi="仿宋" w:eastAsia="仿宋"/>
          <w:b/>
        </w:rPr>
        <w:t>6、年度财务报表</w:t>
      </w:r>
    </w:p>
    <w:p>
      <w:pPr>
        <w:rPr>
          <w:rFonts w:ascii="仿宋" w:hAnsi="仿宋" w:eastAsia="仿宋"/>
        </w:rPr>
      </w:pPr>
    </w:p>
    <w:p>
      <w:pPr>
        <w:rPr>
          <w:rFonts w:ascii="仿宋" w:hAnsi="仿宋" w:eastAsia="仿宋"/>
        </w:rPr>
      </w:pPr>
      <w:r>
        <w:rPr>
          <w:rFonts w:hint="eastAsia" w:ascii="仿宋" w:hAnsi="仿宋" w:eastAsia="仿宋"/>
        </w:rPr>
        <w:t>6.1资产负债表</w:t>
      </w:r>
    </w:p>
    <w:tbl>
      <w:tblPr>
        <w:tblStyle w:val="16"/>
        <w:tblpPr w:leftFromText="45" w:rightFromText="45" w:vertAnchor="text"/>
        <w:tblW w:w="8057" w:type="dxa"/>
        <w:tblCellSpacing w:w="0" w:type="dxa"/>
        <w:tblInd w:w="0" w:type="dxa"/>
        <w:shd w:val="clear" w:color="auto" w:fill="FFFFFF"/>
        <w:tblLayout w:type="fixed"/>
        <w:tblCellMar>
          <w:top w:w="0" w:type="dxa"/>
          <w:left w:w="0" w:type="dxa"/>
          <w:bottom w:w="0" w:type="dxa"/>
          <w:right w:w="0" w:type="dxa"/>
        </w:tblCellMar>
      </w:tblPr>
      <w:tblGrid>
        <w:gridCol w:w="8057"/>
      </w:tblGrid>
      <w:tr>
        <w:tblPrEx>
          <w:tblLayout w:type="fixed"/>
        </w:tblPrEx>
        <w:trPr>
          <w:tblCellSpacing w:w="0" w:type="dxa"/>
        </w:trPr>
        <w:tc>
          <w:tcPr>
            <w:tcW w:w="8057" w:type="dxa"/>
            <w:shd w:val="clear" w:color="auto" w:fill="FFFFFF"/>
            <w:vAlign w:val="center"/>
          </w:tcPr>
          <w:p>
            <w:pPr>
              <w:jc w:val="right"/>
              <w:rPr>
                <w:rFonts w:ascii="仿宋" w:hAnsi="仿宋" w:eastAsia="仿宋"/>
              </w:rPr>
            </w:pPr>
            <w:r>
              <w:rPr>
                <w:rFonts w:hint="eastAsia" w:ascii="仿宋" w:hAnsi="仿宋" w:eastAsia="仿宋"/>
              </w:rPr>
              <w:t xml:space="preserve">单位：元    </w:t>
            </w:r>
          </w:p>
        </w:tc>
      </w:tr>
    </w:tbl>
    <w:tbl>
      <w:tblPr>
        <w:tblStyle w:val="16"/>
        <w:tblW w:w="8662" w:type="dxa"/>
        <w:tblInd w:w="93" w:type="dxa"/>
        <w:tblLayout w:type="fixed"/>
        <w:tblCellMar>
          <w:top w:w="0" w:type="dxa"/>
          <w:left w:w="108" w:type="dxa"/>
          <w:bottom w:w="0" w:type="dxa"/>
          <w:right w:w="108" w:type="dxa"/>
        </w:tblCellMar>
      </w:tblPr>
      <w:tblGrid>
        <w:gridCol w:w="3400"/>
        <w:gridCol w:w="2500"/>
        <w:gridCol w:w="2762"/>
      </w:tblGrid>
      <w:tr>
        <w:tblPrEx>
          <w:tblLayout w:type="fixed"/>
          <w:tblCellMar>
            <w:top w:w="0" w:type="dxa"/>
            <w:left w:w="108" w:type="dxa"/>
            <w:bottom w:w="0" w:type="dxa"/>
            <w:right w:w="108" w:type="dxa"/>
          </w:tblCellMar>
        </w:tblPrEx>
        <w:trPr>
          <w:trHeight w:val="270" w:hRule="atLeast"/>
        </w:trPr>
        <w:tc>
          <w:tcPr>
            <w:tcW w:w="34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资产</w:t>
            </w:r>
          </w:p>
        </w:tc>
        <w:tc>
          <w:tcPr>
            <w:tcW w:w="25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本期末2015-12-31</w:t>
            </w:r>
          </w:p>
        </w:tc>
        <w:tc>
          <w:tcPr>
            <w:tcW w:w="276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上年度末2014-12-31</w:t>
            </w: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银行存款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结算备付金</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存出保证金</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交易性金融资产</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其中：股票投资</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基金投资</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债券投资</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资产支持证券投资</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贵金属投资</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衍生金融资产</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买入返售金融资产</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应收证券清算款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应收利息</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应收股利</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应收申购款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递延所得税资产</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其他资产</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资产总计</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负债和所有者权益</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本期末2015-12-31</w:t>
            </w: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上年度末2014-12-31</w:t>
            </w: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负债：</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短期借款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交易性金融负债</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衍生金融负债</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卖出回购金融资产款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应付证券清算款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应付赎回款</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应付管理人报酬</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应付托管费</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应付销售服务费</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应付交易费用</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应交税费</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应付利息</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应付利润</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递延所得税负债</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其他负债</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负债合计</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所有者权益：</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实收基金</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未分配利润</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所有者权益合计</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4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负债和所有者权益总计</w:t>
            </w:r>
          </w:p>
        </w:tc>
        <w:tc>
          <w:tcPr>
            <w:tcW w:w="250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76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bl>
    <w:p>
      <w:pPr>
        <w:rPr>
          <w:rFonts w:ascii="仿宋" w:hAnsi="仿宋" w:eastAsia="仿宋"/>
        </w:rPr>
      </w:pPr>
    </w:p>
    <w:p>
      <w:pPr>
        <w:rPr>
          <w:rFonts w:ascii="仿宋" w:hAnsi="仿宋" w:eastAsia="仿宋"/>
        </w:rPr>
      </w:pPr>
      <w:r>
        <w:rPr>
          <w:rFonts w:hint="eastAsia" w:ascii="仿宋" w:hAnsi="仿宋" w:eastAsia="仿宋"/>
        </w:rPr>
        <w:t>6.2利润表</w:t>
      </w:r>
    </w:p>
    <w:p>
      <w:pPr>
        <w:wordWrap w:val="0"/>
        <w:jc w:val="right"/>
        <w:rPr>
          <w:rFonts w:ascii="仿宋" w:hAnsi="仿宋" w:eastAsia="仿宋"/>
        </w:rPr>
      </w:pPr>
      <w:r>
        <w:rPr>
          <w:rFonts w:hint="eastAsia" w:ascii="仿宋" w:hAnsi="仿宋" w:eastAsia="仿宋"/>
        </w:rPr>
        <w:t xml:space="preserve">  单位： 元</w:t>
      </w:r>
    </w:p>
    <w:tbl>
      <w:tblPr>
        <w:tblStyle w:val="16"/>
        <w:tblW w:w="8693" w:type="dxa"/>
        <w:tblInd w:w="108" w:type="dxa"/>
        <w:tblLayout w:type="fixed"/>
        <w:tblCellMar>
          <w:top w:w="0" w:type="dxa"/>
          <w:left w:w="108" w:type="dxa"/>
          <w:bottom w:w="0" w:type="dxa"/>
          <w:right w:w="108" w:type="dxa"/>
        </w:tblCellMar>
      </w:tblPr>
      <w:tblGrid>
        <w:gridCol w:w="3119"/>
        <w:gridCol w:w="2730"/>
        <w:gridCol w:w="2844"/>
      </w:tblGrid>
      <w:tr>
        <w:tblPrEx>
          <w:tblLayout w:type="fixed"/>
          <w:tblCellMar>
            <w:top w:w="0" w:type="dxa"/>
            <w:left w:w="108" w:type="dxa"/>
            <w:bottom w:w="0" w:type="dxa"/>
            <w:right w:w="108" w:type="dxa"/>
          </w:tblCellMar>
        </w:tblPrEx>
        <w:trPr>
          <w:trHeight w:val="270" w:hRule="atLeast"/>
        </w:trPr>
        <w:tc>
          <w:tcPr>
            <w:tcW w:w="31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本期</w:t>
            </w:r>
          </w:p>
        </w:tc>
        <w:tc>
          <w:tcPr>
            <w:tcW w:w="284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上年度可比期间</w:t>
            </w:r>
          </w:p>
        </w:tc>
      </w:tr>
      <w:tr>
        <w:tblPrEx>
          <w:tblLayout w:type="fixed"/>
          <w:tblCellMar>
            <w:top w:w="0" w:type="dxa"/>
            <w:left w:w="108" w:type="dxa"/>
            <w:bottom w:w="0" w:type="dxa"/>
            <w:right w:w="108" w:type="dxa"/>
          </w:tblCellMar>
        </w:tblPrEx>
        <w:trPr>
          <w:trHeight w:val="270"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73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2015-01-01至2015-12-31</w:t>
            </w:r>
          </w:p>
        </w:tc>
        <w:tc>
          <w:tcPr>
            <w:tcW w:w="2844"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2014-01-01至2014-12-31</w:t>
            </w: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一、收入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1.利息收入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其中：存款利息收入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债券利息收入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资产支持证券利息收入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买入返售金融资产收入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其他利息收入</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2.投资收益（损失以“-”填列）</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其中：股票投资收益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基金投资收益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债券投资收益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资产支持证券投资收益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贵金属投资收益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衍生工具收益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股利收益</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3.公允价值变动收益</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（损失以“-”填列）</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4.汇兑收益（损失以“-”填列）</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5.其他收入（损失以“-”填列）</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减：二、费用</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1．管理人报酬</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2．托管费</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3．销售服务费</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 外包服务费</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5．交易费用</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6．利息支出</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其中：卖出回购金融资产支出</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7．其他费用</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三、利润总额</w:t>
            </w:r>
          </w:p>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（亏损总额以“-”号填列）</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减：所得税费用</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311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四、净利润</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（净亏损以“-”号填列）</w:t>
            </w:r>
          </w:p>
        </w:tc>
        <w:tc>
          <w:tcPr>
            <w:tcW w:w="273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84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bl>
    <w:p>
      <w:pPr>
        <w:rPr>
          <w:rFonts w:ascii="仿宋" w:hAnsi="仿宋" w:eastAsia="仿宋"/>
        </w:rPr>
      </w:pPr>
    </w:p>
    <w:p>
      <w:pPr>
        <w:rPr>
          <w:rFonts w:ascii="仿宋" w:hAnsi="仿宋" w:eastAsia="仿宋"/>
        </w:rPr>
      </w:pPr>
      <w:r>
        <w:rPr>
          <w:rFonts w:hint="eastAsia" w:ascii="仿宋" w:hAnsi="仿宋" w:eastAsia="仿宋"/>
        </w:rPr>
        <w:t>6.3所有者权益变动表</w:t>
      </w:r>
    </w:p>
    <w:p>
      <w:pPr>
        <w:wordWrap w:val="0"/>
        <w:jc w:val="right"/>
        <w:rPr>
          <w:rFonts w:ascii="仿宋" w:hAnsi="仿宋" w:eastAsia="仿宋"/>
        </w:rPr>
      </w:pPr>
      <w:r>
        <w:rPr>
          <w:rFonts w:hint="eastAsia" w:ascii="仿宋" w:hAnsi="仿宋" w:eastAsia="仿宋"/>
        </w:rPr>
        <w:t xml:space="preserve">    单位： 元  </w:t>
      </w:r>
    </w:p>
    <w:tbl>
      <w:tblPr>
        <w:tblStyle w:val="16"/>
        <w:tblW w:w="8662" w:type="dxa"/>
        <w:tblInd w:w="93" w:type="dxa"/>
        <w:tblLayout w:type="fixed"/>
        <w:tblCellMar>
          <w:top w:w="0" w:type="dxa"/>
          <w:left w:w="108" w:type="dxa"/>
          <w:bottom w:w="0" w:type="dxa"/>
          <w:right w:w="108" w:type="dxa"/>
        </w:tblCellMar>
      </w:tblPr>
      <w:tblGrid>
        <w:gridCol w:w="4126"/>
        <w:gridCol w:w="1276"/>
        <w:gridCol w:w="1559"/>
        <w:gridCol w:w="26"/>
        <w:gridCol w:w="1675"/>
      </w:tblGrid>
      <w:tr>
        <w:tblPrEx>
          <w:tblLayout w:type="fixed"/>
          <w:tblCellMar>
            <w:top w:w="0" w:type="dxa"/>
            <w:left w:w="108" w:type="dxa"/>
            <w:bottom w:w="0" w:type="dxa"/>
            <w:right w:w="108" w:type="dxa"/>
          </w:tblCellMar>
        </w:tblPrEx>
        <w:trPr>
          <w:trHeight w:val="270" w:hRule="atLeast"/>
        </w:trPr>
        <w:tc>
          <w:tcPr>
            <w:tcW w:w="4126"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tc>
        <w:tc>
          <w:tcPr>
            <w:tcW w:w="4536"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本期</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2015-01-01至2015-12-31</w:t>
            </w:r>
          </w:p>
        </w:tc>
      </w:tr>
      <w:tr>
        <w:tblPrEx>
          <w:tblLayout w:type="fixed"/>
          <w:tblCellMar>
            <w:top w:w="0" w:type="dxa"/>
            <w:left w:w="108" w:type="dxa"/>
            <w:bottom w:w="0" w:type="dxa"/>
            <w:right w:w="108" w:type="dxa"/>
          </w:tblCellMar>
        </w:tblPrEx>
        <w:trPr>
          <w:trHeight w:val="270" w:hRule="atLeast"/>
        </w:trPr>
        <w:tc>
          <w:tcPr>
            <w:tcW w:w="412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实收基金</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未分配利润</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所有者权益合计</w:t>
            </w: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一、期初所有者权益（基金净值）</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二、本期经营活动产生的基金净值变动数（本期利润）</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三、本期基金份额交易产生的基金净值变动数（净值减少以“-”号填列）</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其中：1.基金申购款</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2.基金赎回款</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四、本期向基金份额持有人分配利润产生的基金净值变动（净值减少以“-”号填列）</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五、期末所有者权益（基金净值）</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vMerge w:val="restart"/>
            <w:tcBorders>
              <w:top w:val="nil"/>
              <w:left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tc>
        <w:tc>
          <w:tcPr>
            <w:tcW w:w="4536"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上年度可比期间</w:t>
            </w:r>
          </w:p>
          <w:p>
            <w:pPr>
              <w:widowControl/>
              <w:jc w:val="center"/>
              <w:rPr>
                <w:rFonts w:ascii="仿宋" w:hAnsi="仿宋" w:eastAsia="仿宋" w:cs="宋体"/>
                <w:b/>
                <w:bCs/>
                <w:color w:val="000000"/>
                <w:kern w:val="0"/>
                <w:szCs w:val="21"/>
              </w:rPr>
            </w:pPr>
            <w:r>
              <w:rPr>
                <w:rFonts w:hint="eastAsia" w:ascii="仿宋" w:hAnsi="仿宋" w:eastAsia="仿宋" w:cs="宋体"/>
                <w:b/>
                <w:color w:val="000000"/>
                <w:kern w:val="0"/>
                <w:szCs w:val="21"/>
              </w:rPr>
              <w:t>2014-01-01至2014-12-31</w:t>
            </w:r>
          </w:p>
        </w:tc>
      </w:tr>
      <w:tr>
        <w:tblPrEx>
          <w:tblLayout w:type="fixed"/>
          <w:tblCellMar>
            <w:top w:w="0" w:type="dxa"/>
            <w:left w:w="108" w:type="dxa"/>
            <w:bottom w:w="0" w:type="dxa"/>
            <w:right w:w="108" w:type="dxa"/>
          </w:tblCellMar>
        </w:tblPrEx>
        <w:trPr>
          <w:trHeight w:val="270" w:hRule="atLeast"/>
        </w:trPr>
        <w:tc>
          <w:tcPr>
            <w:tcW w:w="412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实收基金</w:t>
            </w:r>
          </w:p>
        </w:tc>
        <w:tc>
          <w:tcPr>
            <w:tcW w:w="158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未分配利润</w:t>
            </w:r>
          </w:p>
        </w:tc>
        <w:tc>
          <w:tcPr>
            <w:tcW w:w="1675"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所有者权益合计</w:t>
            </w: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一、期初所有者权益（基金净值）</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二、本期经营活动产生的基金净值变动数（本期利润）</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三、本期基金份额交易产生的基金净值变动数（净值减少以“-”号填列）</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其中：1.基金申购款</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ascii="仿宋" w:hAnsi="仿宋" w:eastAsia="仿宋" w:cs="宋体"/>
                <w:color w:val="000000"/>
                <w:kern w:val="0"/>
                <w:szCs w:val="21"/>
              </w:rPr>
            </w:pPr>
            <w:r>
              <w:rPr>
                <w:rFonts w:hint="eastAsia" w:ascii="仿宋" w:hAnsi="仿宋" w:eastAsia="仿宋" w:cs="宋体"/>
                <w:color w:val="000000"/>
                <w:kern w:val="0"/>
                <w:szCs w:val="21"/>
              </w:rPr>
              <w:t>2.基金赎回款</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四、本期向基金份额持有人分配利润产生的基金净值变动（净值减少以“-”号填列）</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4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五、期末所有者权益（基金净值）</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8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bl>
    <w:p>
      <w:pPr>
        <w:rPr>
          <w:rFonts w:ascii="仿宋" w:hAnsi="仿宋" w:eastAsia="仿宋"/>
          <w:vanish/>
        </w:rPr>
      </w:pPr>
    </w:p>
    <w:tbl>
      <w:tblPr>
        <w:tblStyle w:val="16"/>
        <w:tblpPr w:leftFromText="45" w:rightFromText="45" w:vertAnchor="text"/>
        <w:tblW w:w="8057" w:type="dxa"/>
        <w:tblCellSpacing w:w="0" w:type="dxa"/>
        <w:tblInd w:w="0" w:type="dxa"/>
        <w:tblLayout w:type="fixed"/>
        <w:tblCellMar>
          <w:top w:w="0" w:type="dxa"/>
          <w:left w:w="0" w:type="dxa"/>
          <w:bottom w:w="0" w:type="dxa"/>
          <w:right w:w="0" w:type="dxa"/>
        </w:tblCellMar>
      </w:tblPr>
      <w:tblGrid>
        <w:gridCol w:w="8057"/>
      </w:tblGrid>
      <w:tr>
        <w:tblPrEx>
          <w:tblLayout w:type="fixed"/>
          <w:tblCellMar>
            <w:top w:w="0" w:type="dxa"/>
            <w:left w:w="0" w:type="dxa"/>
            <w:bottom w:w="0" w:type="dxa"/>
            <w:right w:w="0" w:type="dxa"/>
          </w:tblCellMar>
        </w:tblPrEx>
        <w:trPr>
          <w:tblCellSpacing w:w="0" w:type="dxa"/>
        </w:trPr>
        <w:tc>
          <w:tcPr>
            <w:tcW w:w="8057" w:type="dxa"/>
            <w:vAlign w:val="center"/>
          </w:tcPr>
          <w:p>
            <w:pPr>
              <w:rPr>
                <w:rFonts w:ascii="仿宋" w:hAnsi="仿宋" w:eastAsia="仿宋"/>
              </w:rPr>
            </w:pPr>
          </w:p>
        </w:tc>
      </w:tr>
    </w:tbl>
    <w:p>
      <w:pPr>
        <w:rPr>
          <w:rFonts w:ascii="仿宋" w:hAnsi="仿宋" w:eastAsia="仿宋"/>
          <w:b/>
        </w:rPr>
      </w:pPr>
      <w:r>
        <w:rPr>
          <w:rFonts w:hint="eastAsia" w:ascii="仿宋" w:hAnsi="仿宋" w:eastAsia="仿宋"/>
          <w:b/>
        </w:rPr>
        <w:t>7、期末投资组合情况</w:t>
      </w:r>
    </w:p>
    <w:p>
      <w:pPr>
        <w:rPr>
          <w:rFonts w:ascii="仿宋" w:hAnsi="仿宋" w:eastAsia="仿宋"/>
        </w:rPr>
      </w:pPr>
    </w:p>
    <w:p>
      <w:pPr>
        <w:rPr>
          <w:rFonts w:ascii="仿宋" w:hAnsi="仿宋" w:eastAsia="仿宋"/>
        </w:rPr>
      </w:pPr>
      <w:r>
        <w:rPr>
          <w:rFonts w:hint="eastAsia" w:ascii="仿宋" w:hAnsi="仿宋" w:eastAsia="仿宋"/>
        </w:rPr>
        <w:t>7.1期末基金资产组合情况</w:t>
      </w:r>
    </w:p>
    <w:p>
      <w:pPr>
        <w:jc w:val="right"/>
        <w:rPr>
          <w:rFonts w:ascii="仿宋" w:hAnsi="仿宋" w:eastAsia="仿宋"/>
        </w:rPr>
      </w:pPr>
      <w:r>
        <w:rPr>
          <w:rFonts w:hint="eastAsia" w:ascii="仿宋" w:hAnsi="仿宋" w:eastAsia="仿宋"/>
        </w:rPr>
        <w:t>金额单位：元</w:t>
      </w:r>
    </w:p>
    <w:tbl>
      <w:tblPr>
        <w:tblStyle w:val="16"/>
        <w:tblW w:w="8652" w:type="dxa"/>
        <w:tblInd w:w="0" w:type="dxa"/>
        <w:tblLayout w:type="fixed"/>
        <w:tblCellMar>
          <w:top w:w="0" w:type="dxa"/>
          <w:left w:w="0" w:type="dxa"/>
          <w:bottom w:w="0" w:type="dxa"/>
          <w:right w:w="0" w:type="dxa"/>
        </w:tblCellMar>
      </w:tblPr>
      <w:tblGrid>
        <w:gridCol w:w="573"/>
        <w:gridCol w:w="3968"/>
        <w:gridCol w:w="1560"/>
        <w:gridCol w:w="2551"/>
      </w:tblGrid>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hint="eastAsia" w:ascii="仿宋" w:hAnsi="仿宋" w:eastAsia="仿宋"/>
                <w:b/>
                <w:color w:val="000000"/>
                <w:szCs w:val="21"/>
              </w:rPr>
              <w:t>序号</w:t>
            </w:r>
          </w:p>
        </w:tc>
        <w:tc>
          <w:tcPr>
            <w:tcW w:w="39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ascii="仿宋" w:hAnsi="仿宋" w:eastAsia="仿宋"/>
                <w:b/>
                <w:color w:val="000000"/>
                <w:szCs w:val="21"/>
              </w:rPr>
              <w:t>项目</w:t>
            </w:r>
          </w:p>
        </w:tc>
        <w:tc>
          <w:tcPr>
            <w:tcW w:w="15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ascii="仿宋" w:hAnsi="仿宋" w:eastAsia="仿宋"/>
                <w:b/>
                <w:color w:val="000000"/>
                <w:szCs w:val="21"/>
              </w:rPr>
              <w:t>金额</w:t>
            </w:r>
          </w:p>
          <w:p>
            <w:pPr>
              <w:adjustRightInd w:val="0"/>
              <w:snapToGrid w:val="0"/>
              <w:jc w:val="center"/>
              <w:rPr>
                <w:rFonts w:ascii="仿宋" w:hAnsi="仿宋" w:eastAsia="仿宋"/>
                <w:b/>
                <w:color w:val="000000"/>
                <w:szCs w:val="21"/>
              </w:rPr>
            </w:pPr>
            <w:r>
              <w:rPr>
                <w:rFonts w:hint="eastAsia" w:ascii="仿宋" w:hAnsi="仿宋" w:eastAsia="仿宋"/>
                <w:b/>
                <w:color w:val="000000"/>
                <w:szCs w:val="21"/>
              </w:rPr>
              <w:t>（××元）</w:t>
            </w:r>
          </w:p>
        </w:tc>
        <w:tc>
          <w:tcPr>
            <w:tcW w:w="25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color w:val="000000"/>
                <w:szCs w:val="21"/>
              </w:rPr>
            </w:pPr>
            <w:r>
              <w:rPr>
                <w:rFonts w:ascii="仿宋" w:hAnsi="仿宋" w:eastAsia="仿宋"/>
                <w:b/>
                <w:color w:val="000000"/>
                <w:szCs w:val="21"/>
              </w:rPr>
              <w:t>占基金总资产的</w:t>
            </w:r>
          </w:p>
          <w:p>
            <w:pPr>
              <w:adjustRightInd w:val="0"/>
              <w:snapToGrid w:val="0"/>
              <w:jc w:val="center"/>
              <w:rPr>
                <w:rFonts w:ascii="仿宋" w:hAnsi="仿宋" w:eastAsia="仿宋"/>
                <w:b/>
                <w:color w:val="000000"/>
                <w:szCs w:val="21"/>
              </w:rPr>
            </w:pPr>
            <w:r>
              <w:rPr>
                <w:rFonts w:ascii="仿宋" w:hAnsi="仿宋" w:eastAsia="仿宋"/>
                <w:b/>
                <w:color w:val="000000"/>
                <w:szCs w:val="21"/>
              </w:rPr>
              <w:t>比例（%）</w:t>
            </w: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1</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权益投资</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9"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其中：普通股</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ind w:firstLine="630" w:firstLineChars="300"/>
              <w:rPr>
                <w:rFonts w:ascii="仿宋" w:hAnsi="仿宋" w:eastAsia="仿宋"/>
                <w:color w:val="000000"/>
                <w:szCs w:val="21"/>
              </w:rPr>
            </w:pPr>
            <w:r>
              <w:rPr>
                <w:rFonts w:hint="eastAsia" w:ascii="仿宋" w:hAnsi="仿宋" w:eastAsia="仿宋"/>
                <w:color w:val="000000"/>
                <w:szCs w:val="21"/>
              </w:rPr>
              <w:t>存托凭证</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2</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基金投资</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3</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固定收益投资</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其中：</w:t>
            </w:r>
            <w:r>
              <w:rPr>
                <w:rFonts w:ascii="仿宋" w:hAnsi="仿宋" w:eastAsia="仿宋"/>
                <w:color w:val="000000"/>
                <w:szCs w:val="21"/>
              </w:rPr>
              <w:t>债券</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ascii="仿宋" w:hAnsi="仿宋" w:eastAsia="仿宋"/>
                <w:color w:val="000000"/>
                <w:szCs w:val="21"/>
              </w:rPr>
              <w:t>资产支持证券</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4</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金融衍生品投资</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其中：远期</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ind w:firstLine="630" w:firstLineChars="300"/>
              <w:rPr>
                <w:rFonts w:ascii="仿宋" w:hAnsi="仿宋" w:eastAsia="仿宋"/>
                <w:color w:val="000000"/>
                <w:szCs w:val="21"/>
              </w:rPr>
            </w:pPr>
            <w:r>
              <w:rPr>
                <w:rFonts w:hint="eastAsia" w:ascii="仿宋" w:hAnsi="仿宋" w:eastAsia="仿宋"/>
                <w:color w:val="000000"/>
                <w:szCs w:val="21"/>
              </w:rPr>
              <w:t>期货</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ind w:firstLine="630" w:firstLineChars="300"/>
              <w:rPr>
                <w:rFonts w:ascii="仿宋" w:hAnsi="仿宋" w:eastAsia="仿宋"/>
                <w:color w:val="000000"/>
                <w:szCs w:val="21"/>
              </w:rPr>
            </w:pPr>
            <w:r>
              <w:rPr>
                <w:rFonts w:hint="eastAsia" w:ascii="仿宋" w:hAnsi="仿宋" w:eastAsia="仿宋"/>
                <w:color w:val="000000"/>
                <w:szCs w:val="21"/>
              </w:rPr>
              <w:t>期权</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ind w:firstLine="625" w:firstLineChars="298"/>
              <w:rPr>
                <w:rFonts w:ascii="仿宋" w:hAnsi="仿宋" w:eastAsia="仿宋"/>
                <w:color w:val="000000"/>
                <w:szCs w:val="21"/>
              </w:rPr>
            </w:pPr>
            <w:r>
              <w:rPr>
                <w:rFonts w:hint="eastAsia" w:ascii="仿宋" w:hAnsi="仿宋" w:eastAsia="仿宋"/>
                <w:color w:val="000000"/>
                <w:szCs w:val="21"/>
              </w:rPr>
              <w:t>权证</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5</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买入返售金融资产</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ind w:left="630" w:hanging="630" w:hangingChars="300"/>
              <w:rPr>
                <w:rFonts w:ascii="仿宋" w:hAnsi="仿宋" w:eastAsia="仿宋"/>
                <w:color w:val="000000"/>
                <w:szCs w:val="21"/>
              </w:rPr>
            </w:pPr>
            <w:r>
              <w:rPr>
                <w:rFonts w:ascii="仿宋" w:hAnsi="仿宋" w:eastAsia="仿宋"/>
                <w:color w:val="000000"/>
                <w:szCs w:val="21"/>
              </w:rPr>
              <w:t>其中：买断式回购的买入返售</w:t>
            </w:r>
            <w:r>
              <w:rPr>
                <w:rFonts w:hint="eastAsia" w:ascii="仿宋" w:hAnsi="仿宋" w:eastAsia="仿宋"/>
                <w:color w:val="000000"/>
                <w:szCs w:val="21"/>
              </w:rPr>
              <w:t>金融资产</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6</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货币市场工具</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hint="eastAsia" w:ascii="仿宋" w:hAnsi="仿宋" w:eastAsia="仿宋"/>
                <w:color w:val="000000"/>
                <w:szCs w:val="21"/>
              </w:rPr>
              <w:t>7</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银行存款和结算备付金合计</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r>
              <w:rPr>
                <w:rFonts w:ascii="仿宋" w:hAnsi="仿宋" w:eastAsia="仿宋"/>
                <w:color w:val="000000"/>
                <w:szCs w:val="21"/>
              </w:rPr>
              <w:t>…</w:t>
            </w: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r>
        <w:tblPrEx>
          <w:tblLayout w:type="fixed"/>
          <w:tblCellMar>
            <w:top w:w="0" w:type="dxa"/>
            <w:left w:w="0" w:type="dxa"/>
            <w:bottom w:w="0" w:type="dxa"/>
            <w:right w:w="0" w:type="dxa"/>
          </w:tblCellMar>
        </w:tblPrEx>
        <w:trPr>
          <w:trHeight w:val="20" w:hRule="atLeast"/>
        </w:trPr>
        <w:tc>
          <w:tcPr>
            <w:tcW w:w="57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00"/>
                <w:szCs w:val="21"/>
              </w:rPr>
            </w:pPr>
          </w:p>
        </w:tc>
        <w:tc>
          <w:tcPr>
            <w:tcW w:w="3968" w:type="dxa"/>
            <w:tcBorders>
              <w:top w:val="single" w:color="auto" w:sz="4" w:space="0"/>
              <w:left w:val="nil"/>
              <w:bottom w:val="single" w:color="auto" w:sz="4" w:space="0"/>
              <w:right w:val="single" w:color="auto" w:sz="4" w:space="0"/>
            </w:tcBorders>
          </w:tcPr>
          <w:p>
            <w:pPr>
              <w:adjustRightInd w:val="0"/>
              <w:snapToGrid w:val="0"/>
              <w:rPr>
                <w:rFonts w:ascii="仿宋" w:hAnsi="仿宋" w:eastAsia="仿宋"/>
                <w:color w:val="000000"/>
                <w:szCs w:val="21"/>
              </w:rPr>
            </w:pPr>
            <w:r>
              <w:rPr>
                <w:rFonts w:hint="eastAsia" w:ascii="仿宋" w:hAnsi="仿宋" w:eastAsia="仿宋"/>
                <w:color w:val="000000"/>
                <w:szCs w:val="21"/>
              </w:rPr>
              <w:t>合计</w:t>
            </w:r>
          </w:p>
        </w:tc>
        <w:tc>
          <w:tcPr>
            <w:tcW w:w="1560"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c>
          <w:tcPr>
            <w:tcW w:w="2551" w:type="dxa"/>
            <w:tcBorders>
              <w:top w:val="single" w:color="auto" w:sz="4" w:space="0"/>
              <w:left w:val="nil"/>
              <w:bottom w:val="single" w:color="auto" w:sz="4" w:space="0"/>
              <w:right w:val="single" w:color="auto" w:sz="4" w:space="0"/>
            </w:tcBorders>
            <w:vAlign w:val="center"/>
          </w:tcPr>
          <w:p>
            <w:pPr>
              <w:jc w:val="right"/>
              <w:rPr>
                <w:rFonts w:ascii="仿宋" w:hAnsi="仿宋" w:eastAsia="仿宋"/>
                <w:color w:val="0000FF"/>
                <w:kern w:val="0"/>
                <w:szCs w:val="21"/>
              </w:rPr>
            </w:pPr>
          </w:p>
        </w:tc>
      </w:tr>
    </w:tbl>
    <w:p>
      <w:pPr>
        <w:rPr>
          <w:rFonts w:ascii="仿宋" w:hAnsi="仿宋" w:eastAsia="仿宋"/>
          <w:b/>
        </w:rPr>
      </w:pPr>
    </w:p>
    <w:p>
      <w:pPr>
        <w:rPr>
          <w:rFonts w:ascii="仿宋" w:hAnsi="仿宋" w:eastAsia="仿宋"/>
        </w:rPr>
      </w:pPr>
      <w:r>
        <w:rPr>
          <w:rFonts w:hint="eastAsia" w:ascii="仿宋" w:hAnsi="仿宋" w:eastAsia="仿宋"/>
        </w:rPr>
        <w:t>7.2报告期末按行业分类的股票投资组合</w:t>
      </w:r>
    </w:p>
    <w:p>
      <w:pPr>
        <w:jc w:val="right"/>
        <w:rPr>
          <w:rFonts w:ascii="仿宋" w:hAnsi="仿宋" w:eastAsia="仿宋"/>
        </w:rPr>
      </w:pPr>
      <w:r>
        <w:rPr>
          <w:rFonts w:hint="eastAsia" w:ascii="仿宋" w:hAnsi="仿宋" w:eastAsia="仿宋"/>
        </w:rPr>
        <w:t>金额单位：元</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5" w:type="dxa"/>
            <w:vAlign w:val="center"/>
          </w:tcPr>
          <w:p>
            <w:pPr>
              <w:rPr>
                <w:rFonts w:ascii="仿宋" w:hAnsi="仿宋" w:eastAsia="仿宋"/>
                <w:b/>
                <w:szCs w:val="21"/>
              </w:rPr>
            </w:pPr>
            <w:r>
              <w:rPr>
                <w:rFonts w:hint="eastAsia" w:ascii="仿宋" w:hAnsi="仿宋" w:eastAsia="仿宋"/>
                <w:b/>
                <w:szCs w:val="21"/>
              </w:rPr>
              <w:t>序号</w:t>
            </w:r>
          </w:p>
        </w:tc>
        <w:tc>
          <w:tcPr>
            <w:tcW w:w="3686" w:type="dxa"/>
            <w:vAlign w:val="center"/>
          </w:tcPr>
          <w:p>
            <w:pPr>
              <w:rPr>
                <w:rFonts w:ascii="仿宋" w:hAnsi="仿宋" w:eastAsia="仿宋"/>
                <w:b/>
                <w:szCs w:val="21"/>
              </w:rPr>
            </w:pPr>
            <w:r>
              <w:rPr>
                <w:rFonts w:hint="eastAsia" w:ascii="仿宋" w:hAnsi="仿宋" w:eastAsia="仿宋"/>
                <w:b/>
                <w:szCs w:val="21"/>
              </w:rPr>
              <w:t>行业类别</w:t>
            </w:r>
          </w:p>
        </w:tc>
        <w:tc>
          <w:tcPr>
            <w:tcW w:w="1559" w:type="dxa"/>
            <w:vAlign w:val="center"/>
          </w:tcPr>
          <w:p>
            <w:pPr>
              <w:rPr>
                <w:rFonts w:ascii="仿宋" w:hAnsi="仿宋" w:eastAsia="仿宋"/>
                <w:b/>
                <w:szCs w:val="21"/>
              </w:rPr>
            </w:pPr>
            <w:r>
              <w:rPr>
                <w:rFonts w:hint="eastAsia" w:ascii="仿宋" w:hAnsi="仿宋" w:eastAsia="仿宋"/>
                <w:b/>
                <w:szCs w:val="21"/>
              </w:rPr>
              <w:t>公允价值</w:t>
            </w:r>
          </w:p>
        </w:tc>
        <w:tc>
          <w:tcPr>
            <w:tcW w:w="2835" w:type="dxa"/>
            <w:vAlign w:val="center"/>
          </w:tcPr>
          <w:p>
            <w:pPr>
              <w:rPr>
                <w:rFonts w:ascii="仿宋" w:hAnsi="仿宋" w:eastAsia="仿宋"/>
                <w:b/>
                <w:szCs w:val="21"/>
              </w:rPr>
            </w:pPr>
            <w:r>
              <w:rPr>
                <w:rFonts w:hint="eastAsia" w:ascii="仿宋" w:hAnsi="仿宋" w:eastAsia="仿宋"/>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ascii="仿宋" w:hAnsi="仿宋" w:eastAsia="仿宋"/>
                <w:kern w:val="0"/>
                <w:szCs w:val="21"/>
              </w:rPr>
              <w:t>A</w:t>
            </w:r>
          </w:p>
        </w:tc>
        <w:tc>
          <w:tcPr>
            <w:tcW w:w="3686" w:type="dxa"/>
            <w:vAlign w:val="center"/>
          </w:tcPr>
          <w:p>
            <w:pPr>
              <w:rPr>
                <w:rFonts w:ascii="仿宋" w:hAnsi="仿宋" w:eastAsia="仿宋"/>
                <w:szCs w:val="21"/>
              </w:rPr>
            </w:pPr>
            <w:r>
              <w:rPr>
                <w:rFonts w:hint="eastAsia" w:ascii="仿宋" w:hAnsi="仿宋" w:eastAsia="仿宋" w:cs="宋体"/>
                <w:kern w:val="0"/>
                <w:szCs w:val="21"/>
              </w:rPr>
              <w:t>农、林、牧、渔业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ascii="仿宋" w:hAnsi="仿宋" w:eastAsia="仿宋"/>
                <w:kern w:val="0"/>
                <w:szCs w:val="21"/>
              </w:rPr>
              <w:t>B</w:t>
            </w:r>
          </w:p>
        </w:tc>
        <w:tc>
          <w:tcPr>
            <w:tcW w:w="3686" w:type="dxa"/>
            <w:vAlign w:val="center"/>
          </w:tcPr>
          <w:p>
            <w:pPr>
              <w:rPr>
                <w:rFonts w:ascii="仿宋" w:hAnsi="仿宋" w:eastAsia="仿宋"/>
                <w:szCs w:val="21"/>
              </w:rPr>
            </w:pPr>
            <w:r>
              <w:rPr>
                <w:rFonts w:hint="eastAsia" w:ascii="仿宋" w:hAnsi="仿宋" w:eastAsia="仿宋" w:cs="宋体"/>
                <w:kern w:val="0"/>
                <w:szCs w:val="21"/>
              </w:rPr>
              <w:t>采矿业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ascii="仿宋" w:hAnsi="仿宋" w:eastAsia="仿宋"/>
                <w:kern w:val="0"/>
                <w:szCs w:val="21"/>
              </w:rPr>
              <w:t>C</w:t>
            </w:r>
          </w:p>
        </w:tc>
        <w:tc>
          <w:tcPr>
            <w:tcW w:w="3686" w:type="dxa"/>
            <w:vAlign w:val="center"/>
          </w:tcPr>
          <w:p>
            <w:pPr>
              <w:rPr>
                <w:rFonts w:ascii="仿宋" w:hAnsi="仿宋" w:eastAsia="仿宋"/>
                <w:szCs w:val="21"/>
              </w:rPr>
            </w:pPr>
            <w:r>
              <w:rPr>
                <w:rFonts w:hint="eastAsia" w:ascii="仿宋" w:hAnsi="仿宋" w:eastAsia="仿宋" w:cs="宋体"/>
                <w:kern w:val="0"/>
                <w:szCs w:val="21"/>
              </w:rPr>
              <w:t>制造业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D</w:t>
            </w:r>
          </w:p>
        </w:tc>
        <w:tc>
          <w:tcPr>
            <w:tcW w:w="3686" w:type="dxa"/>
            <w:vAlign w:val="center"/>
          </w:tcPr>
          <w:p>
            <w:pPr>
              <w:rPr>
                <w:rFonts w:ascii="仿宋" w:hAnsi="仿宋" w:eastAsia="仿宋"/>
                <w:szCs w:val="21"/>
              </w:rPr>
            </w:pPr>
            <w:r>
              <w:rPr>
                <w:rFonts w:hint="eastAsia" w:ascii="仿宋" w:hAnsi="仿宋" w:eastAsia="仿宋" w:cs="宋体"/>
                <w:kern w:val="0"/>
                <w:szCs w:val="21"/>
              </w:rPr>
              <w:t>电力、热力、燃气及水生产和供应业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E</w:t>
            </w:r>
          </w:p>
        </w:tc>
        <w:tc>
          <w:tcPr>
            <w:tcW w:w="3686" w:type="dxa"/>
            <w:vAlign w:val="center"/>
          </w:tcPr>
          <w:p>
            <w:pPr>
              <w:rPr>
                <w:rFonts w:ascii="仿宋" w:hAnsi="仿宋" w:eastAsia="仿宋"/>
                <w:szCs w:val="21"/>
              </w:rPr>
            </w:pPr>
            <w:r>
              <w:rPr>
                <w:rFonts w:hint="eastAsia" w:ascii="仿宋" w:hAnsi="仿宋" w:eastAsia="仿宋" w:cs="宋体"/>
                <w:kern w:val="0"/>
                <w:szCs w:val="21"/>
              </w:rPr>
              <w:t>建筑业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F</w:t>
            </w:r>
          </w:p>
        </w:tc>
        <w:tc>
          <w:tcPr>
            <w:tcW w:w="3686" w:type="dxa"/>
            <w:vAlign w:val="center"/>
          </w:tcPr>
          <w:p>
            <w:pPr>
              <w:rPr>
                <w:rFonts w:ascii="仿宋" w:hAnsi="仿宋" w:eastAsia="仿宋"/>
                <w:szCs w:val="21"/>
              </w:rPr>
            </w:pPr>
            <w:r>
              <w:rPr>
                <w:rFonts w:hint="eastAsia" w:ascii="仿宋" w:hAnsi="仿宋" w:eastAsia="仿宋" w:cs="宋体"/>
                <w:kern w:val="0"/>
                <w:szCs w:val="21"/>
              </w:rPr>
              <w:t>批发和零售业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G</w:t>
            </w:r>
          </w:p>
        </w:tc>
        <w:tc>
          <w:tcPr>
            <w:tcW w:w="3686" w:type="dxa"/>
            <w:vAlign w:val="center"/>
          </w:tcPr>
          <w:p>
            <w:pPr>
              <w:rPr>
                <w:rFonts w:ascii="仿宋" w:hAnsi="仿宋" w:eastAsia="仿宋"/>
                <w:szCs w:val="21"/>
              </w:rPr>
            </w:pPr>
            <w:r>
              <w:rPr>
                <w:rFonts w:hint="eastAsia" w:ascii="仿宋" w:hAnsi="仿宋" w:eastAsia="仿宋" w:cs="宋体"/>
                <w:kern w:val="0"/>
                <w:szCs w:val="21"/>
              </w:rPr>
              <w:t>交通运输、仓储和邮政业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H</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住宿和餐饮业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I</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信息传输、软件和信息技术服务业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J</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金融业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K</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房地产业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L</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租赁和商务服务业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M</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科学研究和技术服务业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N</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水利、环境和公共设施管理业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O</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居民服务、修理和其他服务业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P</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教育</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Q</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卫生和社会工作</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R</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文化、体育和娱乐业</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r>
              <w:rPr>
                <w:rFonts w:hint="eastAsia" w:ascii="仿宋" w:hAnsi="仿宋" w:eastAsia="仿宋"/>
                <w:szCs w:val="21"/>
              </w:rPr>
              <w:t>S</w:t>
            </w:r>
          </w:p>
        </w:tc>
        <w:tc>
          <w:tcPr>
            <w:tcW w:w="3686" w:type="dxa"/>
            <w:vAlign w:val="center"/>
          </w:tcPr>
          <w:p>
            <w:pPr>
              <w:rPr>
                <w:rFonts w:ascii="仿宋" w:hAnsi="仿宋" w:eastAsia="仿宋" w:cs="宋体"/>
                <w:kern w:val="0"/>
                <w:szCs w:val="21"/>
              </w:rPr>
            </w:pPr>
            <w:r>
              <w:rPr>
                <w:rFonts w:hint="eastAsia" w:ascii="仿宋" w:hAnsi="仿宋" w:eastAsia="仿宋" w:cs="宋体"/>
                <w:kern w:val="0"/>
                <w:szCs w:val="21"/>
              </w:rPr>
              <w:t>综合</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rPr>
                <w:rFonts w:ascii="仿宋" w:hAnsi="仿宋" w:eastAsia="仿宋"/>
                <w:szCs w:val="21"/>
              </w:rPr>
            </w:pPr>
          </w:p>
        </w:tc>
        <w:tc>
          <w:tcPr>
            <w:tcW w:w="3686" w:type="dxa"/>
            <w:vAlign w:val="center"/>
          </w:tcPr>
          <w:p>
            <w:pPr>
              <w:rPr>
                <w:rFonts w:ascii="仿宋" w:hAnsi="仿宋" w:eastAsia="仿宋" w:cs="宋体"/>
                <w:b/>
                <w:kern w:val="0"/>
                <w:szCs w:val="21"/>
              </w:rPr>
            </w:pPr>
            <w:r>
              <w:rPr>
                <w:rFonts w:hint="eastAsia" w:ascii="仿宋" w:hAnsi="仿宋" w:eastAsia="仿宋" w:cs="宋体"/>
                <w:b/>
                <w:kern w:val="0"/>
                <w:szCs w:val="21"/>
              </w:rPr>
              <w:t>合计</w:t>
            </w:r>
          </w:p>
        </w:tc>
        <w:tc>
          <w:tcPr>
            <w:tcW w:w="1559" w:type="dxa"/>
            <w:vAlign w:val="center"/>
          </w:tcPr>
          <w:p>
            <w:pPr>
              <w:rPr>
                <w:rFonts w:ascii="仿宋" w:hAnsi="仿宋" w:eastAsia="仿宋"/>
                <w:szCs w:val="21"/>
              </w:rPr>
            </w:pPr>
          </w:p>
        </w:tc>
        <w:tc>
          <w:tcPr>
            <w:tcW w:w="2835" w:type="dxa"/>
            <w:vAlign w:val="center"/>
          </w:tcPr>
          <w:p>
            <w:pPr>
              <w:rPr>
                <w:rFonts w:ascii="仿宋" w:hAnsi="仿宋" w:eastAsia="仿宋"/>
                <w:szCs w:val="21"/>
              </w:rPr>
            </w:pPr>
          </w:p>
        </w:tc>
      </w:tr>
    </w:tbl>
    <w:p>
      <w:pPr>
        <w:jc w:val="center"/>
        <w:rPr>
          <w:rFonts w:ascii="仿宋" w:hAnsi="仿宋" w:eastAsia="仿宋"/>
          <w:szCs w:val="22"/>
        </w:rPr>
      </w:pPr>
      <w:r>
        <w:rPr>
          <w:rFonts w:ascii="仿宋" w:hAnsi="仿宋" w:eastAsia="仿宋"/>
          <w:b/>
        </w:rPr>
        <w:br w:type="page"/>
      </w:r>
      <w:r>
        <w:rPr>
          <w:rFonts w:hint="eastAsia" w:ascii="仿宋" w:hAnsi="仿宋" w:eastAsia="仿宋"/>
          <w:b/>
        </w:rPr>
        <w:t xml:space="preserve">附表4  </w:t>
      </w:r>
      <w:r>
        <w:rPr>
          <w:rFonts w:hint="eastAsia" w:ascii="仿宋" w:hAnsi="仿宋" w:eastAsia="仿宋"/>
          <w:b/>
          <w:szCs w:val="22"/>
        </w:rPr>
        <w:t>重大事项临时报告</w:t>
      </w:r>
    </w:p>
    <w:p>
      <w:pPr>
        <w:jc w:val="center"/>
        <w:rPr>
          <w:rFonts w:ascii="仿宋" w:hAnsi="仿宋" w:eastAsia="仿宋"/>
          <w:szCs w:val="22"/>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62"/>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b/>
                <w:szCs w:val="22"/>
              </w:rPr>
            </w:pPr>
            <w:r>
              <w:rPr>
                <w:rFonts w:hint="eastAsia" w:ascii="仿宋" w:hAnsi="仿宋" w:eastAsia="仿宋"/>
                <w:b/>
                <w:szCs w:val="22"/>
              </w:rPr>
              <w:t>序号</w:t>
            </w:r>
          </w:p>
        </w:tc>
        <w:tc>
          <w:tcPr>
            <w:tcW w:w="4962" w:type="dxa"/>
            <w:vAlign w:val="center"/>
          </w:tcPr>
          <w:p>
            <w:pPr>
              <w:jc w:val="center"/>
              <w:rPr>
                <w:rFonts w:ascii="仿宋" w:hAnsi="仿宋" w:eastAsia="仿宋"/>
                <w:b/>
                <w:szCs w:val="22"/>
              </w:rPr>
            </w:pPr>
            <w:r>
              <w:rPr>
                <w:rFonts w:hint="eastAsia" w:ascii="仿宋" w:hAnsi="仿宋" w:eastAsia="仿宋"/>
                <w:b/>
                <w:szCs w:val="22"/>
              </w:rPr>
              <w:t>公告事项</w:t>
            </w:r>
          </w:p>
        </w:tc>
        <w:tc>
          <w:tcPr>
            <w:tcW w:w="2885" w:type="dxa"/>
            <w:vAlign w:val="center"/>
          </w:tcPr>
          <w:p>
            <w:pPr>
              <w:jc w:val="center"/>
              <w:rPr>
                <w:rFonts w:ascii="仿宋" w:hAnsi="仿宋" w:eastAsia="仿宋"/>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1</w:t>
            </w:r>
          </w:p>
        </w:tc>
        <w:tc>
          <w:tcPr>
            <w:tcW w:w="4962" w:type="dxa"/>
          </w:tcPr>
          <w:p>
            <w:pPr>
              <w:rPr>
                <w:rFonts w:ascii="仿宋" w:hAnsi="仿宋" w:eastAsia="仿宋"/>
                <w:szCs w:val="22"/>
              </w:rPr>
            </w:pPr>
            <w:r>
              <w:rPr>
                <w:rFonts w:hint="eastAsia" w:ascii="仿宋" w:hAnsi="仿宋" w:eastAsia="仿宋"/>
                <w:szCs w:val="22"/>
              </w:rPr>
              <w:t>基金名称、注册地址、组织形式发生变更</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2</w:t>
            </w:r>
          </w:p>
        </w:tc>
        <w:tc>
          <w:tcPr>
            <w:tcW w:w="4962" w:type="dxa"/>
          </w:tcPr>
          <w:p>
            <w:pPr>
              <w:rPr>
                <w:rFonts w:ascii="仿宋" w:hAnsi="仿宋" w:eastAsia="仿宋"/>
                <w:szCs w:val="22"/>
              </w:rPr>
            </w:pPr>
            <w:r>
              <w:rPr>
                <w:rFonts w:hint="eastAsia" w:ascii="仿宋" w:hAnsi="仿宋" w:eastAsia="仿宋"/>
                <w:szCs w:val="22"/>
              </w:rPr>
              <w:t>投资标的和投资策略发生重大变化</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3</w:t>
            </w:r>
          </w:p>
        </w:tc>
        <w:tc>
          <w:tcPr>
            <w:tcW w:w="4962" w:type="dxa"/>
          </w:tcPr>
          <w:p>
            <w:pPr>
              <w:rPr>
                <w:rFonts w:ascii="仿宋" w:hAnsi="仿宋" w:eastAsia="仿宋"/>
                <w:szCs w:val="22"/>
              </w:rPr>
            </w:pPr>
            <w:r>
              <w:rPr>
                <w:rFonts w:hint="eastAsia" w:ascii="仿宋" w:hAnsi="仿宋" w:eastAsia="仿宋"/>
                <w:szCs w:val="22"/>
              </w:rPr>
              <w:t>变更基金管理人或托管人</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4</w:t>
            </w:r>
          </w:p>
        </w:tc>
        <w:tc>
          <w:tcPr>
            <w:tcW w:w="4962" w:type="dxa"/>
          </w:tcPr>
          <w:p>
            <w:pPr>
              <w:rPr>
                <w:rFonts w:ascii="仿宋" w:hAnsi="仿宋" w:eastAsia="仿宋"/>
                <w:szCs w:val="22"/>
              </w:rPr>
            </w:pPr>
            <w:r>
              <w:rPr>
                <w:rFonts w:hint="eastAsia" w:ascii="仿宋" w:hAnsi="仿宋" w:eastAsia="仿宋"/>
                <w:szCs w:val="22"/>
              </w:rPr>
              <w:t>管理人的法定代表人、执行事务合伙人（委派代表）、实际控制人发生变更</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5</w:t>
            </w:r>
          </w:p>
        </w:tc>
        <w:tc>
          <w:tcPr>
            <w:tcW w:w="4962" w:type="dxa"/>
          </w:tcPr>
          <w:p>
            <w:pPr>
              <w:rPr>
                <w:rFonts w:ascii="仿宋" w:hAnsi="仿宋" w:eastAsia="仿宋"/>
                <w:szCs w:val="22"/>
              </w:rPr>
            </w:pPr>
            <w:r>
              <w:rPr>
                <w:rFonts w:hint="eastAsia" w:ascii="仿宋" w:hAnsi="仿宋" w:eastAsia="仿宋"/>
                <w:szCs w:val="22"/>
              </w:rPr>
              <w:t>触及基金止损线或预警线</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6</w:t>
            </w:r>
          </w:p>
        </w:tc>
        <w:tc>
          <w:tcPr>
            <w:tcW w:w="4962" w:type="dxa"/>
          </w:tcPr>
          <w:p>
            <w:pPr>
              <w:rPr>
                <w:rFonts w:ascii="仿宋" w:hAnsi="仿宋" w:eastAsia="仿宋"/>
                <w:szCs w:val="22"/>
              </w:rPr>
            </w:pPr>
            <w:r>
              <w:rPr>
                <w:rFonts w:hint="eastAsia" w:ascii="仿宋" w:hAnsi="仿宋" w:eastAsia="仿宋"/>
                <w:szCs w:val="22"/>
              </w:rPr>
              <w:t>管理费率、托管费率发生变化</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7</w:t>
            </w:r>
          </w:p>
        </w:tc>
        <w:tc>
          <w:tcPr>
            <w:tcW w:w="4962" w:type="dxa"/>
          </w:tcPr>
          <w:p>
            <w:pPr>
              <w:rPr>
                <w:rFonts w:ascii="仿宋" w:hAnsi="仿宋" w:eastAsia="仿宋"/>
                <w:szCs w:val="22"/>
              </w:rPr>
            </w:pPr>
            <w:r>
              <w:rPr>
                <w:rFonts w:hint="eastAsia" w:ascii="仿宋" w:hAnsi="仿宋" w:eastAsia="仿宋"/>
                <w:szCs w:val="22"/>
              </w:rPr>
              <w:t>基金收益分配事项发生变更</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8</w:t>
            </w:r>
          </w:p>
        </w:tc>
        <w:tc>
          <w:tcPr>
            <w:tcW w:w="4962" w:type="dxa"/>
          </w:tcPr>
          <w:p>
            <w:pPr>
              <w:rPr>
                <w:rFonts w:ascii="仿宋" w:hAnsi="仿宋" w:eastAsia="仿宋"/>
                <w:szCs w:val="22"/>
              </w:rPr>
            </w:pPr>
            <w:r>
              <w:rPr>
                <w:rFonts w:hint="eastAsia" w:ascii="仿宋" w:hAnsi="仿宋" w:eastAsia="仿宋"/>
                <w:szCs w:val="22"/>
              </w:rPr>
              <w:t xml:space="preserve">基金触发巨额赎回的 </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9</w:t>
            </w:r>
          </w:p>
        </w:tc>
        <w:tc>
          <w:tcPr>
            <w:tcW w:w="4962" w:type="dxa"/>
          </w:tcPr>
          <w:p>
            <w:pPr>
              <w:rPr>
                <w:rFonts w:ascii="仿宋" w:hAnsi="仿宋" w:eastAsia="仿宋"/>
                <w:szCs w:val="22"/>
              </w:rPr>
            </w:pPr>
            <w:r>
              <w:rPr>
                <w:rFonts w:hint="eastAsia" w:ascii="仿宋" w:hAnsi="仿宋" w:eastAsia="仿宋"/>
                <w:szCs w:val="22"/>
              </w:rPr>
              <w:t>基金存续期变更或展期</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10</w:t>
            </w:r>
          </w:p>
        </w:tc>
        <w:tc>
          <w:tcPr>
            <w:tcW w:w="4962" w:type="dxa"/>
          </w:tcPr>
          <w:p>
            <w:pPr>
              <w:rPr>
                <w:rFonts w:ascii="仿宋" w:hAnsi="仿宋" w:eastAsia="仿宋"/>
                <w:szCs w:val="22"/>
              </w:rPr>
            </w:pPr>
            <w:r>
              <w:rPr>
                <w:rFonts w:hint="eastAsia" w:ascii="仿宋" w:hAnsi="仿宋" w:eastAsia="仿宋"/>
                <w:szCs w:val="22"/>
              </w:rPr>
              <w:t>基金发生清盘或清算</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11</w:t>
            </w:r>
          </w:p>
        </w:tc>
        <w:tc>
          <w:tcPr>
            <w:tcW w:w="4962" w:type="dxa"/>
          </w:tcPr>
          <w:p>
            <w:pPr>
              <w:rPr>
                <w:rFonts w:ascii="仿宋" w:hAnsi="仿宋" w:eastAsia="仿宋"/>
                <w:szCs w:val="22"/>
              </w:rPr>
            </w:pPr>
            <w:r>
              <w:rPr>
                <w:rFonts w:hint="eastAsia" w:ascii="仿宋" w:hAnsi="仿宋" w:eastAsia="仿宋"/>
                <w:szCs w:val="22"/>
              </w:rPr>
              <w:t>发生重大关联交易事项</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12</w:t>
            </w:r>
          </w:p>
        </w:tc>
        <w:tc>
          <w:tcPr>
            <w:tcW w:w="4962" w:type="dxa"/>
          </w:tcPr>
          <w:p>
            <w:pPr>
              <w:rPr>
                <w:rFonts w:ascii="仿宋" w:hAnsi="仿宋" w:eastAsia="仿宋"/>
                <w:szCs w:val="22"/>
              </w:rPr>
            </w:pPr>
            <w:r>
              <w:rPr>
                <w:rFonts w:hint="eastAsia" w:ascii="仿宋" w:hAnsi="仿宋" w:eastAsia="仿宋"/>
                <w:szCs w:val="22"/>
              </w:rPr>
              <w:t>基金管理人、实际控制人、高管人员涉嫌重大违法违规行为或正在接受监管部门或自律管理部门调查</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13</w:t>
            </w:r>
          </w:p>
        </w:tc>
        <w:tc>
          <w:tcPr>
            <w:tcW w:w="4962" w:type="dxa"/>
          </w:tcPr>
          <w:p>
            <w:pPr>
              <w:rPr>
                <w:rFonts w:ascii="仿宋" w:hAnsi="仿宋" w:eastAsia="仿宋"/>
                <w:szCs w:val="22"/>
              </w:rPr>
            </w:pPr>
            <w:r>
              <w:rPr>
                <w:rFonts w:hint="eastAsia" w:ascii="仿宋" w:hAnsi="仿宋" w:eastAsia="仿宋"/>
                <w:szCs w:val="22"/>
              </w:rPr>
              <w:t>涉及私募基金管理业务、基金财产、基金托管业务的重大诉讼、仲裁</w:t>
            </w:r>
          </w:p>
        </w:tc>
        <w:tc>
          <w:tcPr>
            <w:tcW w:w="2885" w:type="dxa"/>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jc w:val="center"/>
              <w:rPr>
                <w:rFonts w:ascii="仿宋" w:hAnsi="仿宋" w:eastAsia="仿宋"/>
                <w:szCs w:val="22"/>
              </w:rPr>
            </w:pPr>
            <w:r>
              <w:rPr>
                <w:rFonts w:hint="eastAsia" w:ascii="仿宋" w:hAnsi="仿宋" w:eastAsia="仿宋"/>
                <w:szCs w:val="22"/>
              </w:rPr>
              <w:t>14</w:t>
            </w:r>
          </w:p>
        </w:tc>
        <w:tc>
          <w:tcPr>
            <w:tcW w:w="4962" w:type="dxa"/>
          </w:tcPr>
          <w:p>
            <w:pPr>
              <w:rPr>
                <w:rFonts w:ascii="仿宋" w:hAnsi="仿宋" w:eastAsia="仿宋"/>
                <w:szCs w:val="22"/>
              </w:rPr>
            </w:pPr>
            <w:r>
              <w:rPr>
                <w:rFonts w:hint="eastAsia" w:ascii="仿宋" w:hAnsi="仿宋" w:eastAsia="仿宋"/>
                <w:szCs w:val="22"/>
              </w:rPr>
              <w:t>基金合同约定的影响投资者利益的其他重大事项</w:t>
            </w:r>
          </w:p>
        </w:tc>
        <w:tc>
          <w:tcPr>
            <w:tcW w:w="2885" w:type="dxa"/>
          </w:tcPr>
          <w:p>
            <w:pPr>
              <w:rPr>
                <w:rFonts w:ascii="仿宋" w:hAnsi="仿宋" w:eastAsia="仿宋"/>
                <w:szCs w:val="22"/>
              </w:rPr>
            </w:pPr>
          </w:p>
        </w:tc>
      </w:tr>
    </w:tbl>
    <w:p>
      <w:pPr>
        <w:rPr>
          <w:rFonts w:ascii="仿宋" w:hAnsi="仿宋" w:eastAsia="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4A2"/>
    <w:multiLevelType w:val="multilevel"/>
    <w:tmpl w:val="051114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69E"/>
    <w:rsid w:val="000537F9"/>
    <w:rsid w:val="000717BB"/>
    <w:rsid w:val="00086BF9"/>
    <w:rsid w:val="00093ABF"/>
    <w:rsid w:val="000A1559"/>
    <w:rsid w:val="000A332E"/>
    <w:rsid w:val="000A729B"/>
    <w:rsid w:val="000B1941"/>
    <w:rsid w:val="000C1D3E"/>
    <w:rsid w:val="000C7FC7"/>
    <w:rsid w:val="000D1E16"/>
    <w:rsid w:val="000D5F49"/>
    <w:rsid w:val="000E250B"/>
    <w:rsid w:val="000E52B6"/>
    <w:rsid w:val="000F1729"/>
    <w:rsid w:val="000F7F28"/>
    <w:rsid w:val="0010103D"/>
    <w:rsid w:val="00114BED"/>
    <w:rsid w:val="00122FBF"/>
    <w:rsid w:val="00125F9C"/>
    <w:rsid w:val="0013013C"/>
    <w:rsid w:val="0013710E"/>
    <w:rsid w:val="0015186A"/>
    <w:rsid w:val="001532BE"/>
    <w:rsid w:val="00167C44"/>
    <w:rsid w:val="00172A27"/>
    <w:rsid w:val="001B1348"/>
    <w:rsid w:val="001C03BD"/>
    <w:rsid w:val="001C2432"/>
    <w:rsid w:val="001C263D"/>
    <w:rsid w:val="001C4D68"/>
    <w:rsid w:val="001C7B65"/>
    <w:rsid w:val="001C7EA2"/>
    <w:rsid w:val="001D35D9"/>
    <w:rsid w:val="001D4490"/>
    <w:rsid w:val="001D5927"/>
    <w:rsid w:val="001F40FF"/>
    <w:rsid w:val="00215EEE"/>
    <w:rsid w:val="00233D4E"/>
    <w:rsid w:val="0023641B"/>
    <w:rsid w:val="002375D6"/>
    <w:rsid w:val="00246219"/>
    <w:rsid w:val="002670E6"/>
    <w:rsid w:val="002923ED"/>
    <w:rsid w:val="00292EB0"/>
    <w:rsid w:val="00295022"/>
    <w:rsid w:val="00297A08"/>
    <w:rsid w:val="002A708B"/>
    <w:rsid w:val="002A7312"/>
    <w:rsid w:val="002A745E"/>
    <w:rsid w:val="002B29B3"/>
    <w:rsid w:val="002E7A65"/>
    <w:rsid w:val="002F5F7E"/>
    <w:rsid w:val="0030033E"/>
    <w:rsid w:val="003013A0"/>
    <w:rsid w:val="00306265"/>
    <w:rsid w:val="00306620"/>
    <w:rsid w:val="003123CE"/>
    <w:rsid w:val="003260E6"/>
    <w:rsid w:val="00330FB9"/>
    <w:rsid w:val="003366CC"/>
    <w:rsid w:val="00352B5A"/>
    <w:rsid w:val="0035686C"/>
    <w:rsid w:val="003769E0"/>
    <w:rsid w:val="003F3A98"/>
    <w:rsid w:val="00444CAD"/>
    <w:rsid w:val="0045585B"/>
    <w:rsid w:val="004754C7"/>
    <w:rsid w:val="004813E8"/>
    <w:rsid w:val="004B2E2D"/>
    <w:rsid w:val="004B372A"/>
    <w:rsid w:val="004B5C9E"/>
    <w:rsid w:val="004C35CB"/>
    <w:rsid w:val="004F025F"/>
    <w:rsid w:val="00501645"/>
    <w:rsid w:val="00510121"/>
    <w:rsid w:val="00517848"/>
    <w:rsid w:val="00520183"/>
    <w:rsid w:val="0053160D"/>
    <w:rsid w:val="0053673E"/>
    <w:rsid w:val="00554154"/>
    <w:rsid w:val="00580697"/>
    <w:rsid w:val="00594A12"/>
    <w:rsid w:val="005A6B1A"/>
    <w:rsid w:val="005A716F"/>
    <w:rsid w:val="005B23CD"/>
    <w:rsid w:val="005D1CA6"/>
    <w:rsid w:val="005D4C98"/>
    <w:rsid w:val="005F4EC3"/>
    <w:rsid w:val="006054BA"/>
    <w:rsid w:val="00624F15"/>
    <w:rsid w:val="0063423E"/>
    <w:rsid w:val="00634C95"/>
    <w:rsid w:val="006352BC"/>
    <w:rsid w:val="006474B0"/>
    <w:rsid w:val="006620B6"/>
    <w:rsid w:val="00681B6C"/>
    <w:rsid w:val="00685E5F"/>
    <w:rsid w:val="006B6D2F"/>
    <w:rsid w:val="006C1263"/>
    <w:rsid w:val="006F0EA8"/>
    <w:rsid w:val="007120DD"/>
    <w:rsid w:val="007157A3"/>
    <w:rsid w:val="0071676E"/>
    <w:rsid w:val="007263BA"/>
    <w:rsid w:val="0073733C"/>
    <w:rsid w:val="00753D48"/>
    <w:rsid w:val="00754AA0"/>
    <w:rsid w:val="00756676"/>
    <w:rsid w:val="0078122E"/>
    <w:rsid w:val="007825D1"/>
    <w:rsid w:val="00787683"/>
    <w:rsid w:val="00795914"/>
    <w:rsid w:val="007A1A7D"/>
    <w:rsid w:val="007B3F69"/>
    <w:rsid w:val="007C0F88"/>
    <w:rsid w:val="00810165"/>
    <w:rsid w:val="008176A3"/>
    <w:rsid w:val="00831491"/>
    <w:rsid w:val="008321C0"/>
    <w:rsid w:val="008325AE"/>
    <w:rsid w:val="00851F77"/>
    <w:rsid w:val="0087049E"/>
    <w:rsid w:val="008870E9"/>
    <w:rsid w:val="00887173"/>
    <w:rsid w:val="00887450"/>
    <w:rsid w:val="00887636"/>
    <w:rsid w:val="00887DC3"/>
    <w:rsid w:val="008970FB"/>
    <w:rsid w:val="008A520C"/>
    <w:rsid w:val="008B2BBC"/>
    <w:rsid w:val="008C13C9"/>
    <w:rsid w:val="008D559C"/>
    <w:rsid w:val="008E4F6C"/>
    <w:rsid w:val="008F0F92"/>
    <w:rsid w:val="008F39F3"/>
    <w:rsid w:val="00904122"/>
    <w:rsid w:val="00906FCE"/>
    <w:rsid w:val="009175DE"/>
    <w:rsid w:val="00926868"/>
    <w:rsid w:val="00926F51"/>
    <w:rsid w:val="0093226A"/>
    <w:rsid w:val="00950584"/>
    <w:rsid w:val="009708B7"/>
    <w:rsid w:val="00971D98"/>
    <w:rsid w:val="0097383D"/>
    <w:rsid w:val="00976065"/>
    <w:rsid w:val="009853D9"/>
    <w:rsid w:val="00993CF3"/>
    <w:rsid w:val="009A4851"/>
    <w:rsid w:val="009A637E"/>
    <w:rsid w:val="009C36B3"/>
    <w:rsid w:val="009D3839"/>
    <w:rsid w:val="009E5A0D"/>
    <w:rsid w:val="00A12226"/>
    <w:rsid w:val="00A1441E"/>
    <w:rsid w:val="00A15155"/>
    <w:rsid w:val="00A17653"/>
    <w:rsid w:val="00A27AB2"/>
    <w:rsid w:val="00A27F9C"/>
    <w:rsid w:val="00A31605"/>
    <w:rsid w:val="00A34A9F"/>
    <w:rsid w:val="00A34F66"/>
    <w:rsid w:val="00A37D4A"/>
    <w:rsid w:val="00A4594C"/>
    <w:rsid w:val="00A71B9E"/>
    <w:rsid w:val="00A7773D"/>
    <w:rsid w:val="00A85109"/>
    <w:rsid w:val="00A93ECE"/>
    <w:rsid w:val="00AA32F3"/>
    <w:rsid w:val="00AB6A7B"/>
    <w:rsid w:val="00AB7746"/>
    <w:rsid w:val="00AC1C74"/>
    <w:rsid w:val="00AC2E3E"/>
    <w:rsid w:val="00AC369A"/>
    <w:rsid w:val="00AC3DD6"/>
    <w:rsid w:val="00AC5899"/>
    <w:rsid w:val="00AE62C0"/>
    <w:rsid w:val="00B1130E"/>
    <w:rsid w:val="00B11F9A"/>
    <w:rsid w:val="00B13A6F"/>
    <w:rsid w:val="00B20DA6"/>
    <w:rsid w:val="00B2787C"/>
    <w:rsid w:val="00B36370"/>
    <w:rsid w:val="00B40749"/>
    <w:rsid w:val="00B44E9E"/>
    <w:rsid w:val="00B527EF"/>
    <w:rsid w:val="00B84C02"/>
    <w:rsid w:val="00BA1778"/>
    <w:rsid w:val="00BB1AFF"/>
    <w:rsid w:val="00BB5B8C"/>
    <w:rsid w:val="00BC24E8"/>
    <w:rsid w:val="00BE62B1"/>
    <w:rsid w:val="00BF10D5"/>
    <w:rsid w:val="00BF4C2D"/>
    <w:rsid w:val="00BF5243"/>
    <w:rsid w:val="00C029E6"/>
    <w:rsid w:val="00C032B7"/>
    <w:rsid w:val="00C06D4C"/>
    <w:rsid w:val="00C14D32"/>
    <w:rsid w:val="00C1591C"/>
    <w:rsid w:val="00C2256D"/>
    <w:rsid w:val="00C37377"/>
    <w:rsid w:val="00C45075"/>
    <w:rsid w:val="00C454A6"/>
    <w:rsid w:val="00C61084"/>
    <w:rsid w:val="00C96292"/>
    <w:rsid w:val="00CB0F4C"/>
    <w:rsid w:val="00CC7652"/>
    <w:rsid w:val="00D102BC"/>
    <w:rsid w:val="00D12720"/>
    <w:rsid w:val="00D14197"/>
    <w:rsid w:val="00D25C49"/>
    <w:rsid w:val="00D36860"/>
    <w:rsid w:val="00D41C29"/>
    <w:rsid w:val="00D43E65"/>
    <w:rsid w:val="00D46528"/>
    <w:rsid w:val="00D62469"/>
    <w:rsid w:val="00D663F3"/>
    <w:rsid w:val="00D769F0"/>
    <w:rsid w:val="00D94F1C"/>
    <w:rsid w:val="00DC1A7E"/>
    <w:rsid w:val="00DD4846"/>
    <w:rsid w:val="00DE4841"/>
    <w:rsid w:val="00DE72B1"/>
    <w:rsid w:val="00DF1EC5"/>
    <w:rsid w:val="00DF24AF"/>
    <w:rsid w:val="00E03050"/>
    <w:rsid w:val="00E31EAD"/>
    <w:rsid w:val="00E42990"/>
    <w:rsid w:val="00E4414E"/>
    <w:rsid w:val="00E50E1C"/>
    <w:rsid w:val="00E60AD3"/>
    <w:rsid w:val="00E76478"/>
    <w:rsid w:val="00E82413"/>
    <w:rsid w:val="00E97ECF"/>
    <w:rsid w:val="00EA15A7"/>
    <w:rsid w:val="00F0029B"/>
    <w:rsid w:val="00F102BB"/>
    <w:rsid w:val="00F539E6"/>
    <w:rsid w:val="00F869E4"/>
    <w:rsid w:val="00F90FC3"/>
    <w:rsid w:val="00FA1C22"/>
    <w:rsid w:val="00FA1E58"/>
    <w:rsid w:val="00FA721A"/>
    <w:rsid w:val="00FB754B"/>
    <w:rsid w:val="00FF4729"/>
    <w:rsid w:val="17FD6593"/>
    <w:rsid w:val="26B441B9"/>
    <w:rsid w:val="45DD0425"/>
    <w:rsid w:val="4CF40F57"/>
    <w:rsid w:val="5FB05A92"/>
    <w:rsid w:val="777B4B44"/>
    <w:rsid w:val="7AF122C4"/>
    <w:rsid w:val="7C8B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22"/>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1"/>
    <w:qFormat/>
    <w:uiPriority w:val="9"/>
    <w:pPr>
      <w:keepNext/>
      <w:keepLines/>
      <w:spacing w:before="240" w:after="64" w:line="320" w:lineRule="auto"/>
      <w:outlineLvl w:val="6"/>
    </w:pPr>
    <w:rPr>
      <w:b/>
      <w:bCs/>
      <w:sz w:val="24"/>
      <w:szCs w:val="24"/>
    </w:rPr>
  </w:style>
  <w:style w:type="character" w:default="1" w:styleId="12">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4"/>
    <w:unhideWhenUsed/>
    <w:uiPriority w:val="99"/>
    <w:rPr>
      <w:b/>
      <w:bCs/>
    </w:rPr>
  </w:style>
  <w:style w:type="paragraph" w:styleId="6">
    <w:name w:val="annotation text"/>
    <w:basedOn w:val="1"/>
    <w:link w:val="19"/>
    <w:unhideWhenUsed/>
    <w:uiPriority w:val="99"/>
    <w:pPr>
      <w:jc w:val="left"/>
    </w:pPr>
  </w:style>
  <w:style w:type="paragraph" w:styleId="7">
    <w:name w:val="endnote text"/>
    <w:basedOn w:val="1"/>
    <w:link w:val="29"/>
    <w:semiHidden/>
    <w:unhideWhenUsed/>
    <w:uiPriority w:val="99"/>
    <w:pPr>
      <w:snapToGrid w:val="0"/>
      <w:jc w:val="left"/>
    </w:pPr>
  </w:style>
  <w:style w:type="paragraph" w:styleId="8">
    <w:name w:val="Balloon Text"/>
    <w:basedOn w:val="1"/>
    <w:link w:val="20"/>
    <w:unhideWhenUsed/>
    <w:uiPriority w:val="99"/>
    <w:rPr>
      <w:sz w:val="18"/>
      <w:szCs w:val="18"/>
    </w:rPr>
  </w:style>
  <w:style w:type="paragraph" w:styleId="9">
    <w:name w:val="footer"/>
    <w:basedOn w:val="1"/>
    <w:link w:val="25"/>
    <w:uiPriority w:val="99"/>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link w:val="23"/>
    <w:unhideWhenUsed/>
    <w:uiPriority w:val="99"/>
    <w:pPr>
      <w:snapToGrid w:val="0"/>
      <w:jc w:val="left"/>
    </w:pPr>
    <w:rPr>
      <w:sz w:val="18"/>
      <w:szCs w:val="18"/>
    </w:rPr>
  </w:style>
  <w:style w:type="character" w:styleId="13">
    <w:name w:val="endnote reference"/>
    <w:semiHidden/>
    <w:unhideWhenUsed/>
    <w:uiPriority w:val="99"/>
    <w:rPr>
      <w:vertAlign w:val="superscript"/>
    </w:rPr>
  </w:style>
  <w:style w:type="character" w:styleId="14">
    <w:name w:val="annotation reference"/>
    <w:unhideWhenUsed/>
    <w:uiPriority w:val="99"/>
    <w:rPr>
      <w:sz w:val="21"/>
      <w:szCs w:val="21"/>
    </w:rPr>
  </w:style>
  <w:style w:type="character" w:styleId="15">
    <w:name w:val="footnote reference"/>
    <w:uiPriority w:val="0"/>
    <w:rPr>
      <w:vertAlign w:val="superscript"/>
    </w:rPr>
  </w:style>
  <w:style w:type="table" w:styleId="17">
    <w:name w:val="Table Grid"/>
    <w:basedOn w:val="16"/>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1 Char"/>
    <w:link w:val="2"/>
    <w:qFormat/>
    <w:uiPriority w:val="9"/>
    <w:rPr>
      <w:b/>
      <w:bCs/>
      <w:kern w:val="44"/>
      <w:sz w:val="44"/>
      <w:szCs w:val="44"/>
    </w:rPr>
  </w:style>
  <w:style w:type="character" w:customStyle="1" w:styleId="19">
    <w:name w:val="批注文字 Char"/>
    <w:link w:val="6"/>
    <w:semiHidden/>
    <w:qFormat/>
    <w:uiPriority w:val="99"/>
    <w:rPr>
      <w:kern w:val="2"/>
      <w:sz w:val="21"/>
    </w:rPr>
  </w:style>
  <w:style w:type="character" w:customStyle="1" w:styleId="20">
    <w:name w:val="批注框文本 Char"/>
    <w:link w:val="8"/>
    <w:semiHidden/>
    <w:qFormat/>
    <w:uiPriority w:val="99"/>
    <w:rPr>
      <w:kern w:val="2"/>
      <w:sz w:val="18"/>
      <w:szCs w:val="18"/>
    </w:rPr>
  </w:style>
  <w:style w:type="character" w:customStyle="1" w:styleId="21">
    <w:name w:val="标题 7 Char"/>
    <w:link w:val="4"/>
    <w:semiHidden/>
    <w:uiPriority w:val="9"/>
    <w:rPr>
      <w:b/>
      <w:bCs/>
      <w:kern w:val="2"/>
      <w:sz w:val="24"/>
      <w:szCs w:val="24"/>
    </w:rPr>
  </w:style>
  <w:style w:type="character" w:customStyle="1" w:styleId="22">
    <w:name w:val="标题 6 Char"/>
    <w:link w:val="3"/>
    <w:uiPriority w:val="9"/>
    <w:rPr>
      <w:rFonts w:ascii="Cambria" w:hAnsi="Cambria"/>
      <w:b/>
      <w:bCs/>
      <w:kern w:val="2"/>
      <w:sz w:val="24"/>
      <w:szCs w:val="24"/>
    </w:rPr>
  </w:style>
  <w:style w:type="character" w:customStyle="1" w:styleId="23">
    <w:name w:val="脚注文本 Char"/>
    <w:link w:val="11"/>
    <w:semiHidden/>
    <w:uiPriority w:val="99"/>
    <w:rPr>
      <w:kern w:val="2"/>
      <w:sz w:val="18"/>
      <w:szCs w:val="18"/>
    </w:rPr>
  </w:style>
  <w:style w:type="character" w:customStyle="1" w:styleId="24">
    <w:name w:val="批注主题 Char"/>
    <w:link w:val="5"/>
    <w:semiHidden/>
    <w:uiPriority w:val="99"/>
    <w:rPr>
      <w:b/>
      <w:bCs/>
      <w:kern w:val="2"/>
      <w:sz w:val="21"/>
    </w:rPr>
  </w:style>
  <w:style w:type="character" w:customStyle="1" w:styleId="25">
    <w:name w:val="页脚 Char"/>
    <w:link w:val="9"/>
    <w:uiPriority w:val="99"/>
    <w:rPr>
      <w:kern w:val="2"/>
      <w:sz w:val="18"/>
    </w:rPr>
  </w:style>
  <w:style w:type="paragraph" w:styleId="26">
    <w:name w:val="List Paragraph"/>
    <w:basedOn w:val="1"/>
    <w:qFormat/>
    <w:uiPriority w:val="99"/>
    <w:pPr>
      <w:ind w:firstLine="420" w:firstLineChars="200"/>
    </w:pPr>
  </w:style>
  <w:style w:type="table" w:customStyle="1" w:styleId="27">
    <w:name w:val="网格型1"/>
    <w:basedOn w:val="16"/>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8">
    <w:name w:val="网格型2"/>
    <w:basedOn w:val="16"/>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尾注文本 Char"/>
    <w:link w:val="7"/>
    <w:semiHidden/>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15EA4-C81F-4FEE-8AA7-33AF3D6DB362}">
  <ds:schemaRefs/>
</ds:datastoreItem>
</file>

<file path=docProps/app.xml><?xml version="1.0" encoding="utf-8"?>
<Properties xmlns="http://schemas.openxmlformats.org/officeDocument/2006/extended-properties" xmlns:vt="http://schemas.openxmlformats.org/officeDocument/2006/docPropsVTypes">
  <Template>Normal</Template>
  <Pages>12</Pages>
  <Words>822</Words>
  <Characters>4689</Characters>
  <Lines>39</Lines>
  <Paragraphs>10</Paragraphs>
  <TotalTime>0</TotalTime>
  <ScaleCrop>false</ScaleCrop>
  <LinksUpToDate>false</LinksUpToDate>
  <CharactersWithSpaces>5501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2016-03-18T09:28:00Z</dcterms:created>
  <dc:creator>李建华</dc:creator>
  <cp:lastModifiedBy>朦朦</cp:lastModifiedBy>
  <cp:lastPrinted>2016-02-04T09:33:00Z</cp:lastPrinted>
  <dcterms:modified xsi:type="dcterms:W3CDTF">2018-08-02T09:07:01Z</dcterms:modified>
  <dc:title>证券投资基金信息披露报表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