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heme="majorEastAsia" w:hAnsiTheme="majorEastAsia" w:eastAsiaTheme="majorEastAsia"/>
          <w:b/>
          <w:sz w:val="44"/>
          <w:szCs w:val="44"/>
        </w:rPr>
      </w:pPr>
      <w:bookmarkStart w:id="6" w:name="_GoBack"/>
      <w:bookmarkEnd w:id="6"/>
      <w:bookmarkStart w:id="0" w:name="_Toc244536048"/>
      <w:bookmarkStart w:id="1" w:name="_Toc244392101"/>
      <w:bookmarkStart w:id="2" w:name="_Toc244328385"/>
      <w:bookmarkStart w:id="3" w:name="_Toc244536050"/>
      <w:bookmarkStart w:id="4" w:name="_Toc244392103"/>
      <w:r>
        <w:rPr>
          <w:rFonts w:hint="eastAsia" w:asciiTheme="majorEastAsia" w:hAnsiTheme="majorEastAsia" w:eastAsiaTheme="majorEastAsia"/>
          <w:b/>
          <w:sz w:val="44"/>
          <w:szCs w:val="44"/>
        </w:rPr>
        <w:t>私募投资基金合同指引2号</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（公司章程必备条款指引）</w:t>
      </w:r>
    </w:p>
    <w:p>
      <w:pPr>
        <w:jc w:val="center"/>
        <w:rPr>
          <w:rFonts w:ascii="仿宋" w:hAnsi="仿宋" w:eastAsia="仿宋"/>
          <w:sz w:val="44"/>
          <w:szCs w:val="44"/>
        </w:rPr>
      </w:pPr>
    </w:p>
    <w:bookmarkEnd w:id="0"/>
    <w:bookmarkEnd w:id="1"/>
    <w:bookmarkEnd w:id="2"/>
    <w:p>
      <w:pPr>
        <w:pStyle w:val="20"/>
        <w:numPr>
          <w:ilvl w:val="0"/>
          <w:numId w:val="1"/>
        </w:numPr>
        <w:tabs>
          <w:tab w:val="left" w:pos="1134"/>
          <w:tab w:val="left" w:pos="1276"/>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根据《证券投资基金法》（以下简称《基金法》）、《公司法》、《公司登记管理条例》、《私募投资基金监督管理暂行办法》（以下简称《私募办法》）、《私募投资基金管理人登记和基金备案办法（试行）》（以下简称《登记备案办法》）及其他相关规定，制定本指引。</w:t>
      </w:r>
    </w:p>
    <w:p>
      <w:pPr>
        <w:pStyle w:val="20"/>
        <w:numPr>
          <w:ilvl w:val="0"/>
          <w:numId w:val="1"/>
        </w:numPr>
        <w:tabs>
          <w:tab w:val="left" w:pos="1134"/>
          <w:tab w:val="left" w:pos="1276"/>
        </w:tabs>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管理人通过有限责任公司或股份有限公司形式募集设立私募投资基金的，应当按照本指引制定公司章程。章程中应当载明本指引规定的必备条款，本指引必备条款未尽事宜，可以参考私募投资基金合同指引1号的相关内容。投资者签署的公司章程应当满足相关法律、法规对公司章程的法定基本要求。</w:t>
      </w:r>
    </w:p>
    <w:p>
      <w:pPr>
        <w:pStyle w:val="20"/>
        <w:numPr>
          <w:ilvl w:val="0"/>
          <w:numId w:val="1"/>
        </w:numPr>
        <w:tabs>
          <w:tab w:val="left" w:pos="1134"/>
          <w:tab w:val="left" w:pos="1276"/>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本指引所称公司型基金是指投资者依据《公司法》，通过出资形成一个独立的公司法人实体（以下简称“公司”），由公司自行或者通过委托专门的基金管理人机构进行管理的私募投资基金。公司型基金的投资者既是基金份额持有者又是公司股东，按照公司章程行使相应权利、承担相应义务和责任。</w:t>
      </w:r>
    </w:p>
    <w:p>
      <w:pPr>
        <w:pStyle w:val="20"/>
        <w:numPr>
          <w:ilvl w:val="0"/>
          <w:numId w:val="1"/>
        </w:numPr>
        <w:tabs>
          <w:tab w:val="left" w:pos="1134"/>
          <w:tab w:val="left" w:pos="1276"/>
        </w:tabs>
        <w:spacing w:before="0" w:after="0"/>
        <w:ind w:left="0" w:firstLine="640"/>
        <w:rPr>
          <w:rFonts w:ascii="仿宋_GB2312" w:hAnsi="仿宋" w:eastAsia="仿宋_GB2312"/>
          <w:sz w:val="32"/>
          <w:szCs w:val="32"/>
        </w:rPr>
      </w:pPr>
      <w:bookmarkStart w:id="5" w:name="_Toc413247780"/>
      <w:r>
        <w:rPr>
          <w:rFonts w:hint="eastAsia" w:ascii="仿宋_GB2312" w:hAnsi="仿宋" w:eastAsia="仿宋_GB2312"/>
          <w:sz w:val="32"/>
          <w:szCs w:val="32"/>
        </w:rPr>
        <w:t>私募基金管理人及私募基金投资者应在公司章程首页用加粗字体进行如下声明与承诺，包括但不限于：</w:t>
      </w:r>
    </w:p>
    <w:p>
      <w:pPr>
        <w:pStyle w:val="20"/>
        <w:tabs>
          <w:tab w:val="left" w:pos="1134"/>
          <w:tab w:val="left" w:pos="1276"/>
        </w:tabs>
        <w:ind w:firstLine="643"/>
        <w:rPr>
          <w:rFonts w:ascii="仿宋_GB2312" w:hAnsi="仿宋" w:eastAsia="仿宋_GB2312"/>
          <w:b/>
          <w:sz w:val="32"/>
          <w:szCs w:val="32"/>
        </w:rPr>
      </w:pPr>
      <w:r>
        <w:rPr>
          <w:rFonts w:hint="eastAsia" w:ascii="仿宋_GB2312" w:hAnsi="仿宋" w:eastAsia="仿宋_GB2312"/>
          <w:b/>
          <w:sz w:val="32"/>
          <w:szCs w:val="32"/>
        </w:rPr>
        <w:t>私募基金管理人保证在募集资金前已在中国基金业协会登记为私募基金管理人,并列明管理人登记编码。私募基金管理人应当向投资者进一步声明，中国基金业协会为私募基金管理人和私募基金办理登记备案不构成对私募基金管理人投资能力、持续合规情况的认可；不作为对基金财产安全的保证。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作出承诺。</w:t>
      </w:r>
    </w:p>
    <w:p>
      <w:pPr>
        <w:pStyle w:val="20"/>
        <w:tabs>
          <w:tab w:val="left" w:pos="1134"/>
          <w:tab w:val="left" w:pos="1276"/>
        </w:tabs>
        <w:ind w:firstLine="643"/>
        <w:rPr>
          <w:rFonts w:ascii="黑体" w:hAnsi="黑体" w:eastAsia="黑体"/>
          <w:sz w:val="32"/>
          <w:szCs w:val="32"/>
        </w:rPr>
      </w:pPr>
      <w:r>
        <w:rPr>
          <w:rFonts w:hint="eastAsia" w:ascii="仿宋_GB2312" w:hAnsi="仿宋" w:eastAsia="仿宋_GB2312"/>
          <w:b/>
          <w:sz w:val="32"/>
          <w:szCs w:val="32"/>
        </w:rPr>
        <w:t>私募基金投资者声明其为符合《私募办法》规定的合格投资者，保证财产的来源及用途符合国家有关规定，并已充分理解本合同条款，了解相关权利义务，了解有关法律法规及所投资基金的风险收益特征，愿意承担相应的投资风险；私募基金投资者承诺其向私募基金管理人提供的有关投资目的、投资偏好、投资限制、财产收入情况和风险承受能力</w:t>
      </w:r>
      <w:r>
        <w:rPr>
          <w:rFonts w:hint="eastAsia" w:ascii="仿宋_GB2312" w:hAnsi="仿宋" w:eastAsia="仿宋_GB2312"/>
          <w:sz w:val="32"/>
          <w:szCs w:val="32"/>
        </w:rPr>
        <w:t>等基本情况真实、完整、准确、合法，不存在任何重大遗漏或误导。</w:t>
      </w:r>
    </w:p>
    <w:p>
      <w:pPr>
        <w:pStyle w:val="20"/>
        <w:numPr>
          <w:ilvl w:val="0"/>
          <w:numId w:val="1"/>
        </w:numPr>
        <w:tabs>
          <w:tab w:val="left" w:pos="1134"/>
          <w:tab w:val="left" w:pos="1276"/>
        </w:tabs>
        <w:spacing w:before="0" w:after="0"/>
        <w:ind w:left="0" w:firstLine="640"/>
        <w:rPr>
          <w:rFonts w:ascii="仿宋_GB2312" w:hAnsi="仿宋" w:eastAsia="仿宋_GB2312"/>
          <w:sz w:val="32"/>
          <w:szCs w:val="32"/>
        </w:rPr>
      </w:pPr>
      <w:r>
        <w:rPr>
          <w:rFonts w:hint="eastAsia" w:ascii="仿宋_GB2312" w:hAnsi="仿宋" w:eastAsia="仿宋_GB2312"/>
          <w:sz w:val="32"/>
          <w:szCs w:val="32"/>
        </w:rPr>
        <w:t>公司型基金的章程应当具备如下条款：</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【基本情况】章程应列明公司的基本信息，包括但不限于公司的名称、住所、注册资本、存续期限、经营范围（应含有</w:t>
      </w:r>
      <w:r>
        <w:rPr>
          <w:rFonts w:ascii="仿宋_GB2312" w:hAnsi="仿宋" w:eastAsia="仿宋_GB2312"/>
          <w:sz w:val="32"/>
          <w:szCs w:val="32"/>
        </w:rPr>
        <w:t>“基金管理”、“投资管理”、“资产管理”、“股权投资”、“创业投资”等</w:t>
      </w:r>
      <w:r>
        <w:rPr>
          <w:rFonts w:hint="eastAsia" w:ascii="仿宋_GB2312" w:hAnsi="仿宋" w:eastAsia="仿宋_GB2312"/>
          <w:sz w:val="32"/>
          <w:szCs w:val="32"/>
        </w:rPr>
        <w:t>能体现私募投资基金性质的字样）、股东姓名/名称、住所、法定代表人等，同时可以对变更该等信息的条件作出说明。</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【股东出资】章程应列明股东的出资方式、数额、比例和缴付期限。</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【股东的权利义务】章程应列明股东的基本权利、义务及股东行使知情权的具体方式。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【入股、退股及转让】章程应列明股东增资、减资、入股、退股及股权转让的条件及程序。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【股东（大）会】章程应列明股东（大）会的职权、召集程序及议事规则等。</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【高级管理人员】章程应列明董事会或执行董事、监事（会）及其他高级管理人员的产生办法、职权、召集程序、任期及议事规则等。</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投资事项】章程应列明本公司型基金的投资范围、投资策略、投资运作方式、投资限制、投资决策程序、关联方认定标准及对关联方投资的回避制度、投资后对被投资企业的持续监控、投资风险防范、投资退出等。</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管理方式】公司型基金可以采取自我管理，也可以委托其他私募基金管理机构管理。采取自我管理方式的，章程中应当明确管理架构和投资决策程序；采取委托管理方式的，章程中应当明确管理人的名称，并列名管理人的权限及管理费的计算和支付方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【托管事项】公司财产进行托管的，应在章程中明确托管机构的名称或明确全体股东在托管事宜上对董事会/执行董事的授权范围，包括但不限于挑选托管人、签署托管协议等。</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公司全体股东一致同意不托管的，应在章程中明确约定本公司型基金不进行托管，并明确保障投资基金财产安全的制度措施和纠纷解决机制。</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【利润分配及亏损分担】章程应列明公司的利润分配和亏损分担原则及执行方式。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【税务承担】章程应列明公司的税务承担事项。</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【费用和支出】章程应列明公司承担的有关费用（包括税费）、受托管理人和托管机构报酬的标准及计提方式。</w:t>
      </w:r>
    </w:p>
    <w:p>
      <w:pPr>
        <w:pStyle w:val="20"/>
        <w:numPr>
          <w:ilvl w:val="2"/>
          <w:numId w:val="1"/>
        </w:numPr>
        <w:spacing w:before="0" w:after="0"/>
        <w:ind w:left="0" w:firstLine="640"/>
        <w:rPr>
          <w:rFonts w:ascii="仿宋_GB2312" w:hAnsi="仿宋" w:eastAsia="仿宋_GB2312"/>
          <w:sz w:val="32"/>
          <w:szCs w:val="32"/>
        </w:rPr>
      </w:pPr>
      <w:r>
        <w:rPr>
          <w:rFonts w:hint="eastAsia" w:ascii="仿宋" w:hAnsi="仿宋" w:eastAsia="仿宋"/>
          <w:sz w:val="32"/>
        </w:rPr>
        <w:t>【</w:t>
      </w:r>
      <w:r>
        <w:rPr>
          <w:rFonts w:hint="eastAsia" w:ascii="仿宋_GB2312" w:hAnsi="仿宋" w:eastAsia="仿宋_GB2312"/>
          <w:sz w:val="32"/>
          <w:szCs w:val="32"/>
        </w:rPr>
        <w:t>财务会计制度】章程应对公司的财务会计制度作出规定，包括记账、会计年度、经会计师事务所审计的年度财务报告、公司年度投资运作基本情况及重大事件报告的编制与提交、查阅会计账簿的条件等。</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【信息披露制度】章程应对本公司型基金信息披露的内容、方式、频度等内容作出规定。</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【终止、解散及清算】章程应列明公司的终止、解散事由及清算程序。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【章程的修订】章程应列明章程的修订事由及程序。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【一致性】章程应明确规定当章程的内容与股东之间的出资协议或其他文件内容相冲突的，以章程为准。若章程有多个版本且内容相冲突的，以在中国基金业协会备案的版本为准。</w:t>
      </w:r>
    </w:p>
    <w:p>
      <w:pPr>
        <w:pStyle w:val="20"/>
        <w:numPr>
          <w:ilvl w:val="2"/>
          <w:numId w:val="1"/>
        </w:numPr>
        <w:spacing w:before="0" w:after="0"/>
        <w:ind w:left="0" w:firstLine="640"/>
        <w:rPr>
          <w:rFonts w:ascii="仿宋" w:hAnsi="仿宋" w:eastAsia="仿宋"/>
          <w:sz w:val="32"/>
        </w:rPr>
      </w:pPr>
      <w:r>
        <w:rPr>
          <w:rFonts w:hint="eastAsia" w:ascii="仿宋_GB2312" w:hAnsi="仿宋" w:eastAsia="仿宋_GB2312"/>
          <w:sz w:val="32"/>
          <w:szCs w:val="32"/>
        </w:rPr>
        <w:t>【份额信息备份】订明全体股东同意私募基金管理人、份额登记机构或其他份额登记义务人应当按照中国基金业协会的规定办理基金份额登记（公司股东）数据的备份。</w:t>
      </w:r>
    </w:p>
    <w:p>
      <w:pPr>
        <w:pStyle w:val="20"/>
        <w:numPr>
          <w:ilvl w:val="2"/>
          <w:numId w:val="1"/>
        </w:numPr>
        <w:spacing w:before="0" w:after="0"/>
        <w:ind w:left="0" w:firstLine="640"/>
        <w:rPr>
          <w:rFonts w:ascii="仿宋" w:hAnsi="仿宋" w:eastAsia="仿宋"/>
          <w:sz w:val="32"/>
        </w:rPr>
      </w:pPr>
      <w:r>
        <w:rPr>
          <w:rFonts w:hint="eastAsia" w:ascii="仿宋_GB2312" w:hAnsi="仿宋" w:eastAsia="仿宋_GB2312"/>
          <w:sz w:val="32"/>
          <w:szCs w:val="32"/>
        </w:rPr>
        <w:t>【报送披露信息】订明全体股东同意私募基金管理人或其他信息披露义务人应当按照中国基金业协会的规定对基金信息披露信息进行备份。</w:t>
      </w:r>
    </w:p>
    <w:bookmarkEnd w:id="5"/>
    <w:p>
      <w:pPr>
        <w:pStyle w:val="20"/>
        <w:numPr>
          <w:ilvl w:val="0"/>
          <w:numId w:val="1"/>
        </w:numPr>
        <w:tabs>
          <w:tab w:val="left" w:pos="1134"/>
          <w:tab w:val="left" w:pos="1276"/>
        </w:tabs>
        <w:spacing w:before="0" w:after="0"/>
        <w:ind w:left="0" w:firstLine="640"/>
        <w:rPr>
          <w:rFonts w:ascii="仿宋" w:hAnsi="仿宋" w:eastAsia="仿宋"/>
          <w:sz w:val="32"/>
        </w:rPr>
      </w:pPr>
      <w:r>
        <w:rPr>
          <w:rFonts w:hint="eastAsia" w:ascii="仿宋" w:hAnsi="仿宋" w:eastAsia="仿宋"/>
          <w:sz w:val="32"/>
        </w:rPr>
        <w:t>本指引由中国基金业协会负责解释，自2016年7月15日起施行。</w:t>
      </w:r>
    </w:p>
    <w:p>
      <w:pPr>
        <w:pStyle w:val="20"/>
        <w:spacing w:before="0" w:after="0"/>
        <w:ind w:left="646" w:firstLine="0" w:firstLineChars="0"/>
        <w:rPr>
          <w:rFonts w:ascii="仿宋" w:hAnsi="仿宋" w:eastAsia="仿宋"/>
          <w:sz w:val="32"/>
          <w:szCs w:val="32"/>
        </w:rPr>
      </w:pPr>
    </w:p>
    <w:bookmarkEnd w:id="3"/>
    <w:bookmarkEnd w:id="4"/>
    <w:p>
      <w:pPr>
        <w:pStyle w:val="20"/>
        <w:tabs>
          <w:tab w:val="left" w:pos="567"/>
        </w:tabs>
        <w:spacing w:before="0" w:after="0"/>
        <w:ind w:left="424" w:firstLine="0" w:firstLineChars="0"/>
        <w:rPr>
          <w:rFonts w:ascii="仿宋" w:hAnsi="仿宋" w:eastAsia="仿宋"/>
        </w:rPr>
      </w:pPr>
    </w:p>
    <w:sectPr>
      <w:headerReference r:id="rId3" w:type="default"/>
      <w:footerReference r:id="rId4" w:type="default"/>
      <w:footerReference r:id="rId5"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22EF1"/>
    <w:multiLevelType w:val="multilevel"/>
    <w:tmpl w:val="3F722EF1"/>
    <w:lvl w:ilvl="0" w:tentative="0">
      <w:start w:val="1"/>
      <w:numFmt w:val="japaneseCounting"/>
      <w:lvlText w:val="%1、"/>
      <w:lvlJc w:val="left"/>
      <w:pPr>
        <w:ind w:left="420" w:hanging="420"/>
      </w:pPr>
      <w:rPr>
        <w:rFonts w:hint="eastAsia" w:ascii="黑体" w:hAnsi="宋体" w:eastAsia="黑体" w:cs="Times New Roman"/>
        <w:b w:val="0"/>
        <w:color w:val="auto"/>
        <w:sz w:val="32"/>
        <w:szCs w:val="32"/>
        <w:lang w:val="en-US"/>
      </w:rPr>
    </w:lvl>
    <w:lvl w:ilvl="1" w:tentative="0">
      <w:start w:val="1"/>
      <w:numFmt w:val="japaneseCounting"/>
      <w:lvlText w:val="（%2）"/>
      <w:lvlJc w:val="left"/>
      <w:pPr>
        <w:ind w:left="648" w:hanging="1080"/>
      </w:pPr>
      <w:rPr>
        <w:rFonts w:hint="default"/>
        <w:u w:val="none"/>
      </w:rPr>
    </w:lvl>
    <w:lvl w:ilvl="2" w:tentative="0">
      <w:start w:val="1"/>
      <w:numFmt w:val="chineseCountingThousand"/>
      <w:lvlText w:val="(%3)"/>
      <w:lvlJc w:val="left"/>
      <w:pPr>
        <w:ind w:left="1267" w:hanging="1125"/>
      </w:pPr>
      <w:rPr>
        <w:rFonts w:hint="default"/>
      </w:rPr>
    </w:lvl>
    <w:lvl w:ilvl="3" w:tentative="0">
      <w:start w:val="1"/>
      <w:numFmt w:val="decimal"/>
      <w:lvlText w:val="%4."/>
      <w:lvlJc w:val="left"/>
      <w:pPr>
        <w:ind w:left="828" w:hanging="420"/>
      </w:pPr>
    </w:lvl>
    <w:lvl w:ilvl="4" w:tentative="0">
      <w:start w:val="1"/>
      <w:numFmt w:val="lowerLetter"/>
      <w:lvlText w:val="%5)"/>
      <w:lvlJc w:val="left"/>
      <w:pPr>
        <w:ind w:left="1248" w:hanging="420"/>
      </w:pPr>
    </w:lvl>
    <w:lvl w:ilvl="5" w:tentative="0">
      <w:start w:val="1"/>
      <w:numFmt w:val="lowerRoman"/>
      <w:lvlText w:val="%6."/>
      <w:lvlJc w:val="right"/>
      <w:pPr>
        <w:ind w:left="1668" w:hanging="420"/>
      </w:pPr>
    </w:lvl>
    <w:lvl w:ilvl="6" w:tentative="0">
      <w:start w:val="1"/>
      <w:numFmt w:val="decimal"/>
      <w:lvlText w:val="%7."/>
      <w:lvlJc w:val="left"/>
      <w:pPr>
        <w:ind w:left="2088" w:hanging="420"/>
      </w:pPr>
    </w:lvl>
    <w:lvl w:ilvl="7" w:tentative="0">
      <w:start w:val="1"/>
      <w:numFmt w:val="lowerLetter"/>
      <w:lvlText w:val="%8)"/>
      <w:lvlJc w:val="left"/>
      <w:pPr>
        <w:ind w:left="2508" w:hanging="420"/>
      </w:pPr>
    </w:lvl>
    <w:lvl w:ilvl="8" w:tentative="0">
      <w:start w:val="1"/>
      <w:numFmt w:val="lowerRoman"/>
      <w:lvlText w:val="%9."/>
      <w:lvlJc w:val="right"/>
      <w:pPr>
        <w:ind w:left="292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E7"/>
    <w:rsid w:val="00017D9D"/>
    <w:rsid w:val="00075943"/>
    <w:rsid w:val="000846C0"/>
    <w:rsid w:val="0008723D"/>
    <w:rsid w:val="0009201F"/>
    <w:rsid w:val="000A022C"/>
    <w:rsid w:val="000B606C"/>
    <w:rsid w:val="000B7C1C"/>
    <w:rsid w:val="000C552D"/>
    <w:rsid w:val="000E287D"/>
    <w:rsid w:val="000E6882"/>
    <w:rsid w:val="000F1CB6"/>
    <w:rsid w:val="000F53BE"/>
    <w:rsid w:val="001165A7"/>
    <w:rsid w:val="001341AC"/>
    <w:rsid w:val="00136A8B"/>
    <w:rsid w:val="00147BC3"/>
    <w:rsid w:val="00172A27"/>
    <w:rsid w:val="001929CB"/>
    <w:rsid w:val="001B074E"/>
    <w:rsid w:val="001B3B41"/>
    <w:rsid w:val="001F1916"/>
    <w:rsid w:val="00206228"/>
    <w:rsid w:val="00223411"/>
    <w:rsid w:val="00226211"/>
    <w:rsid w:val="002678B5"/>
    <w:rsid w:val="002772E0"/>
    <w:rsid w:val="002A47C0"/>
    <w:rsid w:val="002B112B"/>
    <w:rsid w:val="002B7153"/>
    <w:rsid w:val="002D5DD0"/>
    <w:rsid w:val="00330C22"/>
    <w:rsid w:val="00333230"/>
    <w:rsid w:val="0033381B"/>
    <w:rsid w:val="003420AD"/>
    <w:rsid w:val="003425CC"/>
    <w:rsid w:val="00344B9B"/>
    <w:rsid w:val="00367CBB"/>
    <w:rsid w:val="0039055D"/>
    <w:rsid w:val="003D4640"/>
    <w:rsid w:val="003D6247"/>
    <w:rsid w:val="003D6C07"/>
    <w:rsid w:val="003F1F92"/>
    <w:rsid w:val="003F25F6"/>
    <w:rsid w:val="003F408E"/>
    <w:rsid w:val="003F4E02"/>
    <w:rsid w:val="00403B92"/>
    <w:rsid w:val="004046B6"/>
    <w:rsid w:val="00426D31"/>
    <w:rsid w:val="004513D4"/>
    <w:rsid w:val="00457AEA"/>
    <w:rsid w:val="004638C2"/>
    <w:rsid w:val="00477819"/>
    <w:rsid w:val="00483CD4"/>
    <w:rsid w:val="00484F65"/>
    <w:rsid w:val="004921B4"/>
    <w:rsid w:val="00496C0A"/>
    <w:rsid w:val="004A0EC9"/>
    <w:rsid w:val="004B56B5"/>
    <w:rsid w:val="004B682B"/>
    <w:rsid w:val="004C37B0"/>
    <w:rsid w:val="004D744E"/>
    <w:rsid w:val="004E07CD"/>
    <w:rsid w:val="004E2B69"/>
    <w:rsid w:val="00525834"/>
    <w:rsid w:val="0053264D"/>
    <w:rsid w:val="00537C1A"/>
    <w:rsid w:val="0054305B"/>
    <w:rsid w:val="005A283F"/>
    <w:rsid w:val="005A67CE"/>
    <w:rsid w:val="005D552E"/>
    <w:rsid w:val="005E0A58"/>
    <w:rsid w:val="005E3461"/>
    <w:rsid w:val="006225AD"/>
    <w:rsid w:val="006402D6"/>
    <w:rsid w:val="0065595D"/>
    <w:rsid w:val="00682D10"/>
    <w:rsid w:val="00684EB8"/>
    <w:rsid w:val="0069176D"/>
    <w:rsid w:val="006A103B"/>
    <w:rsid w:val="006D28AE"/>
    <w:rsid w:val="00707FC5"/>
    <w:rsid w:val="0071308A"/>
    <w:rsid w:val="007202CE"/>
    <w:rsid w:val="0072319F"/>
    <w:rsid w:val="007408BC"/>
    <w:rsid w:val="00745568"/>
    <w:rsid w:val="007467C5"/>
    <w:rsid w:val="007553C5"/>
    <w:rsid w:val="00771DC7"/>
    <w:rsid w:val="007753F6"/>
    <w:rsid w:val="007800A7"/>
    <w:rsid w:val="00794CAC"/>
    <w:rsid w:val="00796628"/>
    <w:rsid w:val="007C528B"/>
    <w:rsid w:val="007E70E7"/>
    <w:rsid w:val="008033E1"/>
    <w:rsid w:val="008134A2"/>
    <w:rsid w:val="00813768"/>
    <w:rsid w:val="00850E6D"/>
    <w:rsid w:val="0086687C"/>
    <w:rsid w:val="00880C59"/>
    <w:rsid w:val="008940EC"/>
    <w:rsid w:val="008A139E"/>
    <w:rsid w:val="008B3855"/>
    <w:rsid w:val="008B3B61"/>
    <w:rsid w:val="008E2C6A"/>
    <w:rsid w:val="00902289"/>
    <w:rsid w:val="00923B0A"/>
    <w:rsid w:val="00927F88"/>
    <w:rsid w:val="009319FE"/>
    <w:rsid w:val="009407F0"/>
    <w:rsid w:val="00942A22"/>
    <w:rsid w:val="00942B6B"/>
    <w:rsid w:val="00946655"/>
    <w:rsid w:val="009475D8"/>
    <w:rsid w:val="009516CE"/>
    <w:rsid w:val="009A6704"/>
    <w:rsid w:val="009D3CB3"/>
    <w:rsid w:val="009F2B0C"/>
    <w:rsid w:val="009F4752"/>
    <w:rsid w:val="009F4CD5"/>
    <w:rsid w:val="00A05DC9"/>
    <w:rsid w:val="00A06CB2"/>
    <w:rsid w:val="00A13820"/>
    <w:rsid w:val="00A15739"/>
    <w:rsid w:val="00A23B74"/>
    <w:rsid w:val="00A33C39"/>
    <w:rsid w:val="00A40925"/>
    <w:rsid w:val="00A43F20"/>
    <w:rsid w:val="00A70526"/>
    <w:rsid w:val="00A9353E"/>
    <w:rsid w:val="00AB189D"/>
    <w:rsid w:val="00AB27D5"/>
    <w:rsid w:val="00AB64E5"/>
    <w:rsid w:val="00AC4B08"/>
    <w:rsid w:val="00AD479B"/>
    <w:rsid w:val="00AD5724"/>
    <w:rsid w:val="00B1107D"/>
    <w:rsid w:val="00B309C0"/>
    <w:rsid w:val="00B453DF"/>
    <w:rsid w:val="00B46B50"/>
    <w:rsid w:val="00B82183"/>
    <w:rsid w:val="00B83DD7"/>
    <w:rsid w:val="00B96FE5"/>
    <w:rsid w:val="00BB7D07"/>
    <w:rsid w:val="00BD3E0F"/>
    <w:rsid w:val="00C05654"/>
    <w:rsid w:val="00C079A8"/>
    <w:rsid w:val="00C16F8B"/>
    <w:rsid w:val="00C20B86"/>
    <w:rsid w:val="00C2186E"/>
    <w:rsid w:val="00C84E6F"/>
    <w:rsid w:val="00C92200"/>
    <w:rsid w:val="00CC786E"/>
    <w:rsid w:val="00CF73C1"/>
    <w:rsid w:val="00D136C5"/>
    <w:rsid w:val="00D21C31"/>
    <w:rsid w:val="00D276F7"/>
    <w:rsid w:val="00D3122C"/>
    <w:rsid w:val="00D455B7"/>
    <w:rsid w:val="00D809C2"/>
    <w:rsid w:val="00D80B31"/>
    <w:rsid w:val="00D81F2D"/>
    <w:rsid w:val="00DD1258"/>
    <w:rsid w:val="00DF13A8"/>
    <w:rsid w:val="00DF3CDA"/>
    <w:rsid w:val="00E15C32"/>
    <w:rsid w:val="00E1767A"/>
    <w:rsid w:val="00E24EB6"/>
    <w:rsid w:val="00E530AB"/>
    <w:rsid w:val="00E54847"/>
    <w:rsid w:val="00E54D1E"/>
    <w:rsid w:val="00E62230"/>
    <w:rsid w:val="00E76C31"/>
    <w:rsid w:val="00E80324"/>
    <w:rsid w:val="00E82AC1"/>
    <w:rsid w:val="00E833F1"/>
    <w:rsid w:val="00EC1591"/>
    <w:rsid w:val="00EC2A12"/>
    <w:rsid w:val="00EC6A12"/>
    <w:rsid w:val="00ED1645"/>
    <w:rsid w:val="00ED3BDD"/>
    <w:rsid w:val="00ED7712"/>
    <w:rsid w:val="00EF0B29"/>
    <w:rsid w:val="00EF178C"/>
    <w:rsid w:val="00F10E03"/>
    <w:rsid w:val="00F16364"/>
    <w:rsid w:val="00F176B5"/>
    <w:rsid w:val="00F2085F"/>
    <w:rsid w:val="00F43991"/>
    <w:rsid w:val="00F47037"/>
    <w:rsid w:val="00F515A0"/>
    <w:rsid w:val="00F55131"/>
    <w:rsid w:val="00F605C1"/>
    <w:rsid w:val="00F615D3"/>
    <w:rsid w:val="00F85516"/>
    <w:rsid w:val="00FE56CD"/>
    <w:rsid w:val="7D071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uiPriority w:val="0"/>
    <w:rPr>
      <w:b/>
    </w:rPr>
  </w:style>
  <w:style w:type="paragraph" w:styleId="4">
    <w:name w:val="annotation text"/>
    <w:basedOn w:val="1"/>
    <w:link w:val="21"/>
    <w:qFormat/>
    <w:uiPriority w:val="99"/>
    <w:pPr>
      <w:jc w:val="left"/>
    </w:pPr>
  </w:style>
  <w:style w:type="paragraph" w:styleId="5">
    <w:name w:val="Normal Indent"/>
    <w:basedOn w:val="1"/>
    <w:uiPriority w:val="0"/>
    <w:pPr>
      <w:spacing w:line="360" w:lineRule="auto"/>
      <w:ind w:firstLine="480" w:firstLineChars="200"/>
    </w:pPr>
    <w:rPr>
      <w:rFonts w:ascii="宋体" w:hAnsi="宋体"/>
      <w:sz w:val="24"/>
    </w:rPr>
  </w:style>
  <w:style w:type="paragraph" w:styleId="6">
    <w:name w:val="Body Text Indent"/>
    <w:basedOn w:val="1"/>
    <w:uiPriority w:val="0"/>
    <w:pPr>
      <w:ind w:firstLine="720"/>
    </w:pPr>
    <w:rPr>
      <w:sz w:val="28"/>
    </w:rPr>
  </w:style>
  <w:style w:type="paragraph" w:styleId="7">
    <w:name w:val="Plain Text"/>
    <w:basedOn w:val="1"/>
    <w:uiPriority w:val="0"/>
    <w:pPr>
      <w:widowControl/>
      <w:spacing w:before="100" w:beforeAutospacing="1" w:after="100" w:afterAutospacing="1"/>
      <w:jc w:val="left"/>
    </w:pPr>
    <w:rPr>
      <w:rFonts w:ascii="宋体" w:hAnsi="宋体"/>
      <w:kern w:val="0"/>
      <w:sz w:val="24"/>
    </w:rPr>
  </w:style>
  <w:style w:type="paragraph" w:styleId="8">
    <w:name w:val="Balloon Text"/>
    <w:basedOn w:val="1"/>
    <w:uiPriority w:val="0"/>
    <w:rPr>
      <w:sz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page number"/>
    <w:basedOn w:val="13"/>
    <w:uiPriority w:val="0"/>
  </w:style>
  <w:style w:type="character" w:styleId="15">
    <w:name w:val="Hyperlink"/>
    <w:uiPriority w:val="0"/>
    <w:rPr>
      <w:color w:val="0000FF"/>
      <w:u w:val="single"/>
    </w:rPr>
  </w:style>
  <w:style w:type="character" w:styleId="16">
    <w:name w:val="annotation reference"/>
    <w:uiPriority w:val="99"/>
    <w:rPr>
      <w:sz w:val="21"/>
    </w:rPr>
  </w:style>
  <w:style w:type="paragraph" w:customStyle="1" w:styleId="18">
    <w:name w:val="Char"/>
    <w:basedOn w:val="1"/>
    <w:uiPriority w:val="0"/>
    <w:pPr>
      <w:widowControl/>
      <w:spacing w:after="160" w:line="240" w:lineRule="exact"/>
    </w:pPr>
    <w:rPr>
      <w:kern w:val="0"/>
      <w:sz w:val="22"/>
      <w:lang w:eastAsia="en-US"/>
    </w:rPr>
  </w:style>
  <w:style w:type="paragraph" w:styleId="19">
    <w:name w:val="List Paragraph"/>
    <w:basedOn w:val="1"/>
    <w:qFormat/>
    <w:uiPriority w:val="34"/>
    <w:pPr>
      <w:ind w:firstLine="420" w:firstLineChars="200"/>
    </w:pPr>
  </w:style>
  <w:style w:type="paragraph" w:customStyle="1" w:styleId="20">
    <w:name w:val="列出段落1"/>
    <w:basedOn w:val="1"/>
    <w:qFormat/>
    <w:uiPriority w:val="0"/>
    <w:pPr>
      <w:spacing w:before="120" w:after="120"/>
      <w:ind w:firstLine="420" w:firstLineChars="200"/>
    </w:pPr>
    <w:rPr>
      <w:rFonts w:ascii="Calibri" w:hAnsi="Calibri"/>
    </w:rPr>
  </w:style>
  <w:style w:type="character" w:customStyle="1" w:styleId="21">
    <w:name w:val="批注文字 Char"/>
    <w:link w:val="4"/>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8852D-D8C0-4FA6-ACAD-C41782DB9177}">
  <ds:schemaRefs/>
</ds:datastoreItem>
</file>

<file path=docProps/app.xml><?xml version="1.0" encoding="utf-8"?>
<Properties xmlns="http://schemas.openxmlformats.org/officeDocument/2006/extended-properties" xmlns:vt="http://schemas.openxmlformats.org/officeDocument/2006/docPropsVTypes">
  <Template>Normal</Template>
  <Company>deheng</Company>
  <Pages>5</Pages>
  <Words>2201</Words>
  <Lines>1</Lines>
  <Paragraphs>4</Paragraphs>
  <TotalTime>106</TotalTime>
  <ScaleCrop>false</ScaleCrop>
  <LinksUpToDate>false</LinksUpToDate>
  <CharactersWithSpaces>2152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2016-02-22T06:48:00Z</dcterms:created>
  <dc:creator>dxl</dc:creator>
  <cp:lastModifiedBy>朦朦</cp:lastModifiedBy>
  <cp:lastPrinted>2015-11-11T01:30:00Z</cp:lastPrinted>
  <dcterms:modified xsi:type="dcterms:W3CDTF">2018-08-01T00:23:45Z</dcterms:modified>
  <dc:title>股权投资基金文件指引第9号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